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535"/>
        <w:gridCol w:w="4535"/>
      </w:tblGrid>
      <w:tr>
        <w:tc>
          <w:tcPr>
            <w:tcW w:type="dxa" w:w="4535"/>
          </w:tcPr>
          <w:p>
            <w:pPr>
              <w:spacing w:after="0" w:line="276" w:lineRule="auto"/>
              <w:jc w:val="center"/>
            </w:pPr>
            <w:r/>
            <w:r>
              <w:rPr>
                <w:rFonts w:ascii="Times New Roman" w:hAnsi="Times New Roman"/>
                <w:sz w:val="25"/>
              </w:rPr>
              <w:t xml:space="preserve">CÔNG TY TNHH </w:t>
            </w:r>
          </w:p>
        </w:tc>
        <w:tc>
          <w:tcPr>
            <w:tcW w:type="dxa" w:w="4535"/>
          </w:tcPr>
          <w:p>
            <w:pPr>
              <w:spacing w:after="0" w:line="276" w:lineRule="auto"/>
              <w:jc w:val="center"/>
            </w:pPr>
            <w:r/>
            <w:r>
              <w:rPr>
                <w:rFonts w:ascii="Times New Roman" w:hAnsi="Times New Roman"/>
                <w:sz w:val="25"/>
              </w:rPr>
              <w:t xml:space="preserve"> CỘNG HÒA XÃ HỘI CHỦ NGHĨA VIỆT NAM</w:t>
            </w:r>
          </w:p>
        </w:tc>
      </w:tr>
      <w:tr>
        <w:tc>
          <w:tcPr>
            <w:tcW w:type="dxa" w:w="4535"/>
          </w:tcPr>
          <w:p>
            <w:pPr>
              <w:spacing w:after="0" w:line="276" w:lineRule="auto"/>
              <w:jc w:val="center"/>
            </w:pPr>
            <w:r/>
            <w:r>
              <w:rPr>
                <w:rFonts w:ascii="Times New Roman" w:hAnsi="Times New Roman"/>
                <w:sz w:val="25"/>
              </w:rPr>
              <w:t xml:space="preserve">HƯNG THỊNH PHÁT THỦ ĐÔ </w:t>
            </w:r>
          </w:p>
        </w:tc>
        <w:tc>
          <w:tcPr>
            <w:tcW w:type="dxa" w:w="4535"/>
          </w:tcPr>
          <w:p>
            <w:pPr>
              <w:spacing w:after="0" w:line="276" w:lineRule="auto"/>
              <w:jc w:val="center"/>
            </w:pPr>
            <w:r/>
            <w:r>
              <w:rPr>
                <w:rFonts w:ascii="Times New Roman" w:hAnsi="Times New Roman"/>
                <w:sz w:val="25"/>
              </w:rPr>
              <w:t xml:space="preserve"> Độc lập – Tự do – Hạnh phúc</w:t>
            </w:r>
          </w:p>
        </w:tc>
      </w:tr>
      <w:tr>
        <w:tc>
          <w:tcPr>
            <w:tcW w:type="dxa" w:w="4535"/>
          </w:tcPr>
          <w:p>
            <w:pPr>
              <w:spacing w:after="0" w:line="276" w:lineRule="auto"/>
              <w:jc w:val="center"/>
            </w:pPr>
            <w:r/>
            <w:r>
              <w:rPr>
                <w:rFonts w:ascii="Times New Roman" w:hAnsi="Times New Roman"/>
                <w:sz w:val="25"/>
              </w:rPr>
              <w:t xml:space="preserve">——————— </w:t>
            </w:r>
          </w:p>
        </w:tc>
        <w:tc>
          <w:tcPr>
            <w:tcW w:type="dxa" w:w="4535"/>
          </w:tcPr>
          <w:p>
            <w:pPr>
              <w:spacing w:after="0" w:line="276" w:lineRule="auto"/>
              <w:jc w:val="center"/>
            </w:pPr>
            <w:r/>
            <w:r>
              <w:rPr>
                <w:rFonts w:ascii="Times New Roman" w:hAnsi="Times New Roman"/>
                <w:sz w:val="25"/>
              </w:rPr>
              <w:t xml:space="preserve"> ———————</w:t>
            </w:r>
          </w:p>
        </w:tc>
      </w:tr>
      <w:tr>
        <w:tc>
          <w:tcPr>
            <w:tcW w:type="dxa" w:w="4535"/>
          </w:tcPr>
          <w:p>
            <w:pPr>
              <w:spacing w:after="0" w:line="276" w:lineRule="auto"/>
              <w:jc w:val="center"/>
            </w:pPr>
            <w:r/>
            <w:r>
              <w:rPr>
                <w:rFonts w:ascii="Times New Roman" w:hAnsi="Times New Roman"/>
                <w:sz w:val="25"/>
              </w:rPr>
              <w:t xml:space="preserve">Số:……/BC-HTPTĐ </w:t>
            </w:r>
          </w:p>
        </w:tc>
        <w:tc>
          <w:tcPr>
            <w:tcW w:type="dxa" w:w="4535"/>
          </w:tcPr>
          <w:p>
            <w:pPr>
              <w:spacing w:after="0" w:line="276" w:lineRule="auto"/>
              <w:jc w:val="center"/>
            </w:pPr>
            <w:r/>
            <w:r>
              <w:rPr>
                <w:rFonts w:ascii="Times New Roman" w:hAnsi="Times New Roman"/>
                <w:sz w:val="25"/>
              </w:rPr>
              <w:t xml:space="preserve"> </w:t>
            </w:r>
            <w:r>
              <w:rPr>
                <w:rFonts w:ascii="Times New Roman" w:hAnsi="Times New Roman"/>
                <w:i/>
                <w:sz w:val="25"/>
              </w:rPr>
              <w:t>Hà Nội, ngày 09 tháng 10 năm 2026</w:t>
            </w:r>
          </w:p>
        </w:tc>
      </w:tr>
    </w:tbl>
    <w:p>
      <w:pPr>
        <w:spacing w:after="40"/>
      </w:pPr>
    </w:p>
    <w:p>
      <w:pPr>
        <w:spacing w:after="40"/>
        <w:jc w:val="center"/>
      </w:pPr>
      <w:r>
        <w:rPr>
          <w:rFonts w:ascii="Times New Roman" w:hAnsi="Times New Roman"/>
          <w:b/>
        </w:rPr>
        <w:t>BẢN CHÀO GIỚI THIỆU DỰ ÁN &amp; CƠ HỘI HỢP TÁC ĐẦU TƯ</w:t>
      </w:r>
    </w:p>
    <w:p>
      <w:pPr>
        <w:spacing w:after="40"/>
        <w:jc w:val="center"/>
      </w:pPr>
      <w:r>
        <w:rPr>
          <w:rFonts w:ascii="Times New Roman" w:hAnsi="Times New Roman"/>
          <w:b/>
        </w:rPr>
        <w:t>KHU DÂN CƯ ĐÔ THỊ MỚI BẰNG QUÂN (ĐỊNH SƠN, CẨM GIÀNG, TP HẢI PHÒNG)</w:t>
      </w:r>
    </w:p>
    <w:p>
      <w:pPr>
        <w:spacing w:after="40"/>
        <w:jc w:val="center"/>
      </w:pPr>
      <w:r>
        <w:rPr>
          <w:rFonts w:ascii="Times New Roman" w:hAnsi="Times New Roman"/>
          <w:i/>
        </w:rPr>
        <w:t>(Project Showcase &amp; Investment Opportunity Teaser)</w:t>
      </w:r>
    </w:p>
    <w:p>
      <w:pPr>
        <w:spacing w:after="40"/>
        <w:jc w:val="center"/>
      </w:pPr>
      <w:r>
        <w:rPr>
          <w:rFonts w:ascii="Times New Roman" w:hAnsi="Times New Roman"/>
          <w:b/>
        </w:rPr>
        <w:t>QUY HOẠCH CHI TIẾT 1/500 — KHÔNG GIAN SỐNG SINH THÁI ĐẲNG CẤP 14,6 HÉC-TA</w:t>
      </w:r>
    </w:p>
    <w:p>
      <w:pPr>
        <w:spacing w:after="200"/>
        <w:ind w:firstLine="0"/>
      </w:pPr>
      <w:r>
        <w:rPr>
          <w:rFonts w:ascii="Times New Roman" w:hAnsi="Times New Roman"/>
          <w:b/>
        </w:rPr>
        <w:t>Kính gửi:</w:t>
      </w:r>
      <w:r>
        <w:rPr>
          <w:rFonts w:ascii="Times New Roman" w:hAnsi="Times New Roman"/>
        </w:rPr>
        <w:t xml:space="preserve"> Quý Tập đoàn, Quý Nhà đầu tư và Quý Đối tác chiến lược.</w:t>
      </w:r>
    </w:p>
    <w:p>
      <w:pPr>
        <w:spacing w:after="120"/>
        <w:ind w:firstLine="567"/>
      </w:pPr>
      <w:r>
        <w:rPr>
          <w:rFonts w:ascii="Times New Roman" w:hAnsi="Times New Roman"/>
        </w:rPr>
        <w:t xml:space="preserve">Công ty TNHH Hưng Thịnh Phát Thủ Đô trân trọng giới thiệu tới Quý Đối tác và Quý Nhà đầu tư cơ hội hợp tác phát triển </w:t>
      </w:r>
      <w:r>
        <w:rPr>
          <w:rFonts w:ascii="Times New Roman" w:hAnsi="Times New Roman"/>
          <w:b/>
        </w:rPr>
        <w:t>Dự án Đầu tư Xây dựng Khu dân cư mới Bằng Quân</w:t>
      </w:r>
      <w:r>
        <w:rPr>
          <w:rFonts w:ascii="Times New Roman" w:hAnsi="Times New Roman"/>
        </w:rPr>
        <w:t xml:space="preserve"> tọa lạc tại vị trí trung tâm hành chính - kinh tế xã Định Sơn (nay là xã Cẩm Giang, huyện Cẩm Giàng, TP Hải Phòng).</w:t>
      </w:r>
    </w:p>
    <w:p>
      <w:pPr>
        <w:spacing w:after="120"/>
        <w:ind w:firstLine="567"/>
      </w:pPr>
      <w:r>
        <w:rPr>
          <w:rFonts w:ascii="Times New Roman" w:hAnsi="Times New Roman"/>
        </w:rPr>
        <w:t>Dự án sở hữu quy mô 14,61 ha, được quy hoạch bài bản theo tiêu chuẩn đô thị sinh thái hiện đại với hồ điều hòa và công viên cây xanh rộng hơn 2,5 ha, 437 sản phẩm đất ở thương phẩm (nhà liền kề, nhà phố thương mại shophouse và biệt thự vườn sinh thái ven hồ) cùng tổ hợp thương mại - dịch vụ 7 tầng đẳng cấp.</w:t>
      </w:r>
    </w:p>
    <w:p>
      <w:pPr>
        <w:spacing w:after="120"/>
        <w:ind w:firstLine="567"/>
      </w:pPr>
      <w:r>
        <w:rPr>
          <w:rFonts w:ascii="Times New Roman" w:hAnsi="Times New Roman"/>
        </w:rPr>
        <w:t>Dự án đã hoàn thành toàn bộ các thủ tục pháp lý quan trọng nhất: Chấp thuận chủ trương đầu tư, trúng thầu lựa chọn nhà đầu tư công khai theo luật định, ký kết Hợp đồng thực hiện dự án chính thức số 04/2025/HĐDA, phê duyệt Quy hoạch chi tiết tỷ lệ 1/500 và công tác giải phóng mặt bằng đã đạt 96% hộ dân đồng thuận (đã có 03 quyết định phê duyệt phương án bồi thường đạt gần 75% diện tích). Với quỹ đất sạch 96% đã giải phóng mặt bằng, quy hoạch chi tiết 1/500 hoàn chỉnh và suất đầu tư hạ tầng tối ưu, Dự án mở ra tiềm năng sinh lời và hiệu quả đầu tư vượt trội cho các đối tác chiến lược.</w:t>
      </w:r>
    </w:p>
    <w:p>
      <w:pPr>
        <w:spacing w:before="240" w:after="120"/>
        <w:ind w:firstLine="0"/>
        <w:jc w:val="left"/>
      </w:pPr>
      <w:r>
        <w:rPr>
          <w:rFonts w:ascii="Times New Roman" w:hAnsi="Times New Roman"/>
          <w:b/>
          <w:color w:val="000000"/>
          <w:sz w:val="27"/>
        </w:rPr>
        <w:t>I. TỔNG QUAN DỰ ÁN THEO QUY HOẠCH ĐƯỢC DUYỆT</w:t>
      </w:r>
    </w:p>
    <w:tbl>
      <w:tblPr>
        <w:tblStyle w:val="TableGrid"/>
        <w:tblW w:type="auto" w:w="0"/>
        <w:jc w:val="center"/>
        <w:tblLayout w:type="fixed"/>
        <w:tblLook w:firstColumn="1" w:firstRow="1" w:lastColumn="0" w:lastRow="0" w:noHBand="0" w:noVBand="1" w:val="04A0"/>
      </w:tblPr>
      <w:tblGrid>
        <w:gridCol w:w="2610"/>
        <w:gridCol w:w="3361"/>
        <w:gridCol w:w="3100"/>
      </w:tblGrid>
      <w:tr>
        <w:tc>
          <w:tcPr>
            <w:tcW w:type="dxa" w:w="2610"/>
          </w:tcPr>
          <w:p>
            <w:pPr>
              <w:spacing w:after="40" w:line="264" w:lineRule="auto"/>
              <w:jc w:val="center"/>
            </w:pPr>
            <w:r>
              <w:rPr>
                <w:b/>
              </w:rPr>
            </w:r>
            <w:r>
              <w:rPr>
                <w:rFonts w:ascii="Times New Roman" w:hAnsi="Times New Roman"/>
                <w:b/>
                <w:sz w:val="23"/>
              </w:rPr>
              <w:t>Chỉ tiêu</w:t>
            </w:r>
          </w:p>
        </w:tc>
        <w:tc>
          <w:tcPr>
            <w:tcW w:type="dxa" w:w="3361"/>
          </w:tcPr>
          <w:p>
            <w:pPr>
              <w:spacing w:after="40" w:line="264" w:lineRule="auto"/>
              <w:jc w:val="center"/>
            </w:pPr>
            <w:r>
              <w:rPr>
                <w:b/>
              </w:rPr>
            </w:r>
            <w:r>
              <w:rPr>
                <w:rFonts w:ascii="Times New Roman" w:hAnsi="Times New Roman"/>
                <w:b/>
                <w:sz w:val="23"/>
              </w:rPr>
              <w:t>Thông tin chi tiết</w:t>
            </w:r>
          </w:p>
        </w:tc>
        <w:tc>
          <w:tcPr>
            <w:tcW w:type="dxa" w:w="3100"/>
          </w:tcPr>
          <w:p>
            <w:pPr>
              <w:spacing w:after="40" w:line="264" w:lineRule="auto"/>
              <w:jc w:val="center"/>
            </w:pPr>
            <w:r>
              <w:rPr>
                <w:b/>
              </w:rPr>
            </w:r>
            <w:r>
              <w:rPr>
                <w:rFonts w:ascii="Times New Roman" w:hAnsi="Times New Roman"/>
                <w:b/>
                <w:sz w:val="23"/>
              </w:rPr>
              <w:t>Căn cứ phê duyệt / Ghi chú</w:t>
            </w:r>
          </w:p>
        </w:tc>
      </w:tr>
      <w:tr>
        <w:tc>
          <w:tcPr>
            <w:tcW w:type="dxa" w:w="2610"/>
          </w:tcPr>
          <w:p>
            <w:pPr>
              <w:spacing w:after="40" w:line="264" w:lineRule="auto"/>
              <w:jc w:val="left"/>
            </w:pPr>
            <w:r/>
            <w:r>
              <w:rPr>
                <w:rFonts w:ascii="Times New Roman" w:hAnsi="Times New Roman"/>
                <w:b/>
                <w:sz w:val="23"/>
              </w:rPr>
              <w:t>Tên dự án</w:t>
            </w:r>
          </w:p>
        </w:tc>
        <w:tc>
          <w:tcPr>
            <w:tcW w:type="dxa" w:w="3361"/>
          </w:tcPr>
          <w:p>
            <w:pPr>
              <w:spacing w:after="40" w:line="264" w:lineRule="auto"/>
              <w:jc w:val="left"/>
            </w:pPr>
            <w:r/>
            <w:r>
              <w:rPr>
                <w:rFonts w:ascii="Times New Roman" w:hAnsi="Times New Roman"/>
                <w:b/>
                <w:sz w:val="23"/>
              </w:rPr>
              <w:t>Dự án Đầu tư Xây dựng Khu dân cư mới Bằng Quân</w:t>
            </w:r>
          </w:p>
        </w:tc>
        <w:tc>
          <w:tcPr>
            <w:tcW w:type="dxa" w:w="3100"/>
          </w:tcPr>
          <w:p>
            <w:pPr>
              <w:spacing w:after="40" w:line="264" w:lineRule="auto"/>
              <w:jc w:val="left"/>
            </w:pPr>
            <w:r/>
            <w:r>
              <w:rPr>
                <w:rFonts w:ascii="Times New Roman" w:hAnsi="Times New Roman"/>
                <w:sz w:val="23"/>
              </w:rPr>
              <w:t>Quyết định số 1925/QĐ-UBND &amp; 1202/QĐ-UBND</w:t>
            </w:r>
          </w:p>
        </w:tc>
      </w:tr>
      <w:tr>
        <w:tc>
          <w:tcPr>
            <w:tcW w:type="dxa" w:w="2610"/>
          </w:tcPr>
          <w:p>
            <w:pPr>
              <w:spacing w:after="40" w:line="264" w:lineRule="auto"/>
              <w:jc w:val="left"/>
            </w:pPr>
            <w:r/>
            <w:r>
              <w:rPr>
                <w:rFonts w:ascii="Times New Roman" w:hAnsi="Times New Roman"/>
                <w:b/>
                <w:sz w:val="23"/>
              </w:rPr>
              <w:t>Địa điểm quy hoạch</w:t>
            </w:r>
          </w:p>
        </w:tc>
        <w:tc>
          <w:tcPr>
            <w:tcW w:type="dxa" w:w="3361"/>
          </w:tcPr>
          <w:p>
            <w:pPr>
              <w:spacing w:after="40" w:line="264" w:lineRule="auto"/>
              <w:jc w:val="left"/>
            </w:pPr>
            <w:r/>
            <w:r>
              <w:rPr>
                <w:rFonts w:ascii="Times New Roman" w:hAnsi="Times New Roman"/>
                <w:sz w:val="23"/>
              </w:rPr>
              <w:t>Xã Định Sơn (nay là xã Cẩm Giang), huyện Cẩm Giàng, TP Hải Phòng</w:t>
            </w:r>
          </w:p>
        </w:tc>
        <w:tc>
          <w:tcPr>
            <w:tcW w:type="dxa" w:w="3100"/>
          </w:tcPr>
          <w:p>
            <w:pPr>
              <w:spacing w:after="40" w:line="264" w:lineRule="auto"/>
              <w:jc w:val="left"/>
            </w:pPr>
            <w:r/>
            <w:r>
              <w:rPr>
                <w:rFonts w:ascii="Times New Roman" w:hAnsi="Times New Roman"/>
                <w:sz w:val="23"/>
              </w:rPr>
              <w:t>Trung tâm đô thị công nghiệp phía Tây Hải Phòng</w:t>
            </w:r>
          </w:p>
        </w:tc>
      </w:tr>
      <w:tr>
        <w:tc>
          <w:tcPr>
            <w:tcW w:type="dxa" w:w="2610"/>
          </w:tcPr>
          <w:p>
            <w:pPr>
              <w:spacing w:after="40" w:line="264" w:lineRule="auto"/>
              <w:jc w:val="left"/>
            </w:pPr>
            <w:r/>
            <w:r>
              <w:rPr>
                <w:rFonts w:ascii="Times New Roman" w:hAnsi="Times New Roman"/>
                <w:b/>
                <w:sz w:val="23"/>
              </w:rPr>
              <w:t>Chủ đầu tư / Nhà đầu tư</w:t>
            </w:r>
          </w:p>
        </w:tc>
        <w:tc>
          <w:tcPr>
            <w:tcW w:type="dxa" w:w="3361"/>
          </w:tcPr>
          <w:p>
            <w:pPr>
              <w:spacing w:after="40" w:line="264" w:lineRule="auto"/>
              <w:jc w:val="left"/>
            </w:pPr>
            <w:r/>
            <w:r>
              <w:rPr>
                <w:rFonts w:ascii="Times New Roman" w:hAnsi="Times New Roman"/>
                <w:b/>
                <w:sz w:val="23"/>
              </w:rPr>
              <w:t>Công ty TNHH Hưng Thịnh Phát Thủ Đô (HTP)</w:t>
            </w:r>
          </w:p>
        </w:tc>
        <w:tc>
          <w:tcPr>
            <w:tcW w:type="dxa" w:w="3100"/>
          </w:tcPr>
          <w:p>
            <w:pPr>
              <w:spacing w:after="40" w:line="264" w:lineRule="auto"/>
              <w:jc w:val="left"/>
            </w:pPr>
            <w:r/>
            <w:r>
              <w:rPr>
                <w:rFonts w:ascii="Times New Roman" w:hAnsi="Times New Roman"/>
                <w:sz w:val="23"/>
              </w:rPr>
              <w:t>Đơn vị trúng thầu theo quy định pháp luật</w:t>
            </w:r>
          </w:p>
        </w:tc>
      </w:tr>
      <w:tr>
        <w:tc>
          <w:tcPr>
            <w:tcW w:type="dxa" w:w="2610"/>
          </w:tcPr>
          <w:p>
            <w:pPr>
              <w:spacing w:after="40" w:line="264" w:lineRule="auto"/>
              <w:jc w:val="left"/>
            </w:pPr>
            <w:r/>
            <w:r>
              <w:rPr>
                <w:rFonts w:ascii="Times New Roman" w:hAnsi="Times New Roman"/>
                <w:b/>
                <w:sz w:val="23"/>
              </w:rPr>
              <w:t>Hình thức lựa chọn NĐT</w:t>
            </w:r>
          </w:p>
        </w:tc>
        <w:tc>
          <w:tcPr>
            <w:tcW w:type="dxa" w:w="3361"/>
          </w:tcPr>
          <w:p>
            <w:pPr>
              <w:spacing w:after="40" w:line="264" w:lineRule="auto"/>
              <w:jc w:val="left"/>
            </w:pPr>
            <w:r/>
            <w:r>
              <w:rPr>
                <w:rFonts w:ascii="Times New Roman" w:hAnsi="Times New Roman"/>
                <w:b/>
                <w:sz w:val="23"/>
              </w:rPr>
              <w:t>Đấu thầu công khai rộng rãi theo quy định</w:t>
            </w:r>
          </w:p>
        </w:tc>
        <w:tc>
          <w:tcPr>
            <w:tcW w:type="dxa" w:w="3100"/>
          </w:tcPr>
          <w:p>
            <w:pPr>
              <w:spacing w:after="40" w:line="264" w:lineRule="auto"/>
              <w:jc w:val="left"/>
            </w:pPr>
            <w:r/>
            <w:r>
              <w:rPr>
                <w:rFonts w:ascii="Times New Roman" w:hAnsi="Times New Roman"/>
                <w:sz w:val="23"/>
              </w:rPr>
              <w:t>Quyết định số 3781/QĐ-UBND ngày 17/9/2025</w:t>
            </w:r>
          </w:p>
        </w:tc>
      </w:tr>
      <w:tr>
        <w:tc>
          <w:tcPr>
            <w:tcW w:type="dxa" w:w="2610"/>
          </w:tcPr>
          <w:p>
            <w:pPr>
              <w:spacing w:after="40" w:line="264" w:lineRule="auto"/>
              <w:jc w:val="left"/>
            </w:pPr>
            <w:r/>
            <w:r>
              <w:rPr>
                <w:rFonts w:ascii="Times New Roman" w:hAnsi="Times New Roman"/>
                <w:b/>
                <w:sz w:val="23"/>
              </w:rPr>
              <w:t>Hợp đồng thực hiện DA</w:t>
            </w:r>
          </w:p>
        </w:tc>
        <w:tc>
          <w:tcPr>
            <w:tcW w:type="dxa" w:w="3361"/>
          </w:tcPr>
          <w:p>
            <w:pPr>
              <w:spacing w:after="40" w:line="264" w:lineRule="auto"/>
              <w:jc w:val="left"/>
            </w:pPr>
            <w:r/>
            <w:r>
              <w:rPr>
                <w:rFonts w:ascii="Times New Roman" w:hAnsi="Times New Roman"/>
                <w:b/>
                <w:sz w:val="23"/>
              </w:rPr>
              <w:t>Hợp đồng số 04/2025/HĐDA ngày 25/11/2025</w:t>
            </w:r>
          </w:p>
        </w:tc>
        <w:tc>
          <w:tcPr>
            <w:tcW w:type="dxa" w:w="3100"/>
          </w:tcPr>
          <w:p>
            <w:pPr>
              <w:spacing w:after="40" w:line="264" w:lineRule="auto"/>
              <w:jc w:val="left"/>
            </w:pPr>
            <w:r/>
            <w:r>
              <w:rPr>
                <w:rFonts w:ascii="Times New Roman" w:hAnsi="Times New Roman"/>
                <w:sz w:val="23"/>
              </w:rPr>
              <w:t>Ký với cơ quan quản lý nhà nước có thẩm quyền</w:t>
            </w:r>
          </w:p>
        </w:tc>
      </w:tr>
      <w:tr>
        <w:tc>
          <w:tcPr>
            <w:tcW w:type="dxa" w:w="2610"/>
          </w:tcPr>
          <w:p>
            <w:pPr>
              <w:spacing w:after="40" w:line="264" w:lineRule="auto"/>
              <w:jc w:val="left"/>
            </w:pPr>
            <w:r/>
            <w:r>
              <w:rPr>
                <w:rFonts w:ascii="Times New Roman" w:hAnsi="Times New Roman"/>
                <w:b/>
                <w:sz w:val="23"/>
              </w:rPr>
              <w:t>Quy hoạch chi tiết</w:t>
            </w:r>
          </w:p>
        </w:tc>
        <w:tc>
          <w:tcPr>
            <w:tcW w:type="dxa" w:w="3361"/>
          </w:tcPr>
          <w:p>
            <w:pPr>
              <w:spacing w:after="40" w:line="264" w:lineRule="auto"/>
              <w:jc w:val="left"/>
            </w:pPr>
            <w:r/>
            <w:r>
              <w:rPr>
                <w:rFonts w:ascii="Times New Roman" w:hAnsi="Times New Roman"/>
                <w:b/>
                <w:sz w:val="23"/>
              </w:rPr>
              <w:t>Tỷ lệ 1/500 đã được phê duyệt chính thức</w:t>
            </w:r>
          </w:p>
        </w:tc>
        <w:tc>
          <w:tcPr>
            <w:tcW w:type="dxa" w:w="3100"/>
          </w:tcPr>
          <w:p>
            <w:pPr>
              <w:spacing w:after="40" w:line="264" w:lineRule="auto"/>
              <w:jc w:val="left"/>
            </w:pPr>
            <w:r/>
            <w:r>
              <w:rPr>
                <w:rFonts w:ascii="Times New Roman" w:hAnsi="Times New Roman"/>
                <w:sz w:val="23"/>
              </w:rPr>
              <w:t>Kèm hồ sơ bản vẽ chia lô 437 thửa đất</w:t>
            </w:r>
          </w:p>
        </w:tc>
      </w:tr>
      <w:tr>
        <w:tc>
          <w:tcPr>
            <w:tcW w:type="dxa" w:w="2610"/>
          </w:tcPr>
          <w:p>
            <w:pPr>
              <w:spacing w:after="40" w:line="264" w:lineRule="auto"/>
              <w:jc w:val="left"/>
            </w:pPr>
            <w:r/>
            <w:r>
              <w:rPr>
                <w:rFonts w:ascii="Times New Roman" w:hAnsi="Times New Roman"/>
                <w:b/>
                <w:sz w:val="23"/>
              </w:rPr>
              <w:t>Tổng diện tích ranh giới</w:t>
            </w:r>
          </w:p>
        </w:tc>
        <w:tc>
          <w:tcPr>
            <w:tcW w:type="dxa" w:w="3361"/>
          </w:tcPr>
          <w:p>
            <w:pPr>
              <w:spacing w:after="40" w:line="264" w:lineRule="auto"/>
              <w:jc w:val="left"/>
            </w:pPr>
            <w:r/>
            <w:r>
              <w:rPr>
                <w:rFonts w:ascii="Times New Roman" w:hAnsi="Times New Roman"/>
                <w:b/>
                <w:sz w:val="23"/>
              </w:rPr>
              <w:t>146.113,7 m² (14,61 ha)</w:t>
            </w:r>
          </w:p>
        </w:tc>
        <w:tc>
          <w:tcPr>
            <w:tcW w:type="dxa" w:w="3100"/>
          </w:tcPr>
          <w:p>
            <w:pPr>
              <w:spacing w:after="40" w:line="264" w:lineRule="auto"/>
              <w:jc w:val="left"/>
            </w:pPr>
            <w:r/>
            <w:r>
              <w:rPr>
                <w:rFonts w:ascii="Times New Roman" w:hAnsi="Times New Roman"/>
                <w:sz w:val="23"/>
              </w:rPr>
              <w:t>Toàn bộ trong chỉ giới quy hoạch dự án</w:t>
            </w:r>
          </w:p>
        </w:tc>
      </w:tr>
      <w:tr>
        <w:tc>
          <w:tcPr>
            <w:tcW w:type="dxa" w:w="2610"/>
          </w:tcPr>
          <w:p>
            <w:pPr>
              <w:spacing w:after="40" w:line="264" w:lineRule="auto"/>
              <w:jc w:val="left"/>
            </w:pPr>
            <w:r/>
            <w:r>
              <w:rPr>
                <w:rFonts w:ascii="Times New Roman" w:hAnsi="Times New Roman"/>
                <w:b/>
                <w:sz w:val="23"/>
              </w:rPr>
              <w:t>Tổng số lô thương phẩm</w:t>
            </w:r>
          </w:p>
        </w:tc>
        <w:tc>
          <w:tcPr>
            <w:tcW w:type="dxa" w:w="3361"/>
          </w:tcPr>
          <w:p>
            <w:pPr>
              <w:spacing w:after="40" w:line="264" w:lineRule="auto"/>
              <w:jc w:val="left"/>
            </w:pPr>
            <w:r/>
            <w:r>
              <w:rPr>
                <w:rFonts w:ascii="Times New Roman" w:hAnsi="Times New Roman"/>
                <w:b/>
                <w:sz w:val="23"/>
              </w:rPr>
              <w:t>437 lô đất ở</w:t>
            </w:r>
          </w:p>
        </w:tc>
        <w:tc>
          <w:tcPr>
            <w:tcW w:type="dxa" w:w="3100"/>
          </w:tcPr>
          <w:p>
            <w:pPr>
              <w:spacing w:after="40" w:line="264" w:lineRule="auto"/>
              <w:jc w:val="left"/>
            </w:pPr>
            <w:r/>
            <w:r>
              <w:rPr>
                <w:rFonts w:ascii="Times New Roman" w:hAnsi="Times New Roman"/>
                <w:sz w:val="23"/>
              </w:rPr>
              <w:t>100% quy hoạch đất nền có hạ tầng kỹ thuật</w:t>
            </w:r>
          </w:p>
        </w:tc>
      </w:tr>
      <w:tr>
        <w:tc>
          <w:tcPr>
            <w:tcW w:type="dxa" w:w="2610"/>
          </w:tcPr>
          <w:p>
            <w:pPr>
              <w:spacing w:after="40" w:line="264" w:lineRule="auto"/>
              <w:jc w:val="left"/>
            </w:pPr>
            <w:r/>
            <w:r>
              <w:rPr>
                <w:rFonts w:ascii="Times New Roman" w:hAnsi="Times New Roman"/>
                <w:b/>
                <w:sz w:val="23"/>
              </w:rPr>
              <w:t>Đất ở nhà liền kề (LK)</w:t>
            </w:r>
          </w:p>
        </w:tc>
        <w:tc>
          <w:tcPr>
            <w:tcW w:type="dxa" w:w="3361"/>
          </w:tcPr>
          <w:p>
            <w:pPr>
              <w:spacing w:after="40" w:line="264" w:lineRule="auto"/>
              <w:jc w:val="left"/>
            </w:pPr>
            <w:r/>
            <w:r>
              <w:rPr>
                <w:rFonts w:ascii="Times New Roman" w:hAnsi="Times New Roman"/>
                <w:b/>
                <w:sz w:val="23"/>
              </w:rPr>
              <w:t>26.982,6 m² (313 lô)</w:t>
            </w:r>
          </w:p>
        </w:tc>
        <w:tc>
          <w:tcPr>
            <w:tcW w:type="dxa" w:w="3100"/>
          </w:tcPr>
          <w:p>
            <w:pPr>
              <w:spacing w:after="40" w:line="264" w:lineRule="auto"/>
              <w:jc w:val="left"/>
            </w:pPr>
            <w:r/>
            <w:r>
              <w:rPr>
                <w:rFonts w:ascii="Times New Roman" w:hAnsi="Times New Roman"/>
                <w:sz w:val="23"/>
              </w:rPr>
              <w:t>Gồm 8 dãy: LK1, LK2, LK3, LK4, LK05, LK6, LK7, LK8</w:t>
            </w:r>
          </w:p>
        </w:tc>
      </w:tr>
      <w:tr>
        <w:tc>
          <w:tcPr>
            <w:tcW w:type="dxa" w:w="2610"/>
          </w:tcPr>
          <w:p>
            <w:pPr>
              <w:spacing w:after="40" w:line="264" w:lineRule="auto"/>
              <w:jc w:val="left"/>
            </w:pPr>
            <w:r/>
            <w:r>
              <w:rPr>
                <w:rFonts w:ascii="Times New Roman" w:hAnsi="Times New Roman"/>
                <w:b/>
                <w:sz w:val="23"/>
              </w:rPr>
              <w:t>Đất nhà ở dịch vụ (OKD)</w:t>
            </w:r>
          </w:p>
        </w:tc>
        <w:tc>
          <w:tcPr>
            <w:tcW w:type="dxa" w:w="3361"/>
          </w:tcPr>
          <w:p>
            <w:pPr>
              <w:spacing w:after="40" w:line="264" w:lineRule="auto"/>
              <w:jc w:val="left"/>
            </w:pPr>
            <w:r/>
            <w:r>
              <w:rPr>
                <w:rFonts w:ascii="Times New Roman" w:hAnsi="Times New Roman"/>
                <w:b/>
                <w:sz w:val="23"/>
              </w:rPr>
              <w:t>5.823,7 m² (70 lô)</w:t>
            </w:r>
          </w:p>
        </w:tc>
        <w:tc>
          <w:tcPr>
            <w:tcW w:type="dxa" w:w="3100"/>
          </w:tcPr>
          <w:p>
            <w:pPr>
              <w:spacing w:after="40" w:line="264" w:lineRule="auto"/>
              <w:jc w:val="left"/>
            </w:pPr>
            <w:r/>
            <w:r>
              <w:rPr>
                <w:rFonts w:ascii="Times New Roman" w:hAnsi="Times New Roman"/>
                <w:sz w:val="23"/>
              </w:rPr>
              <w:t>Gồm 4 dãy shophouse: OKD1, OKD2, OKD3, OKD4</w:t>
            </w:r>
          </w:p>
        </w:tc>
      </w:tr>
      <w:tr>
        <w:tc>
          <w:tcPr>
            <w:tcW w:type="dxa" w:w="2610"/>
          </w:tcPr>
          <w:p>
            <w:pPr>
              <w:spacing w:after="40" w:line="264" w:lineRule="auto"/>
              <w:jc w:val="left"/>
            </w:pPr>
            <w:r/>
            <w:r>
              <w:rPr>
                <w:rFonts w:ascii="Times New Roman" w:hAnsi="Times New Roman"/>
                <w:b/>
                <w:sz w:val="23"/>
              </w:rPr>
              <w:t>Đất ở biệt thự vườn (NV)</w:t>
            </w:r>
          </w:p>
        </w:tc>
        <w:tc>
          <w:tcPr>
            <w:tcW w:type="dxa" w:w="3361"/>
          </w:tcPr>
          <w:p>
            <w:pPr>
              <w:spacing w:after="40" w:line="264" w:lineRule="auto"/>
              <w:jc w:val="left"/>
            </w:pPr>
            <w:r/>
            <w:r>
              <w:rPr>
                <w:rFonts w:ascii="Times New Roman" w:hAnsi="Times New Roman"/>
                <w:b/>
                <w:sz w:val="23"/>
              </w:rPr>
              <w:t>8.783,8 m² (54 lô)</w:t>
            </w:r>
          </w:p>
        </w:tc>
        <w:tc>
          <w:tcPr>
            <w:tcW w:type="dxa" w:w="3100"/>
          </w:tcPr>
          <w:p>
            <w:pPr>
              <w:spacing w:after="40" w:line="264" w:lineRule="auto"/>
              <w:jc w:val="left"/>
            </w:pPr>
            <w:r/>
            <w:r>
              <w:rPr>
                <w:rFonts w:ascii="Times New Roman" w:hAnsi="Times New Roman"/>
                <w:sz w:val="23"/>
              </w:rPr>
              <w:t>Gồm 3 dãy biệt thự ven hồ: NV01, NV02, NV03</w:t>
            </w:r>
          </w:p>
        </w:tc>
      </w:tr>
      <w:tr>
        <w:tc>
          <w:tcPr>
            <w:tcW w:type="dxa" w:w="2610"/>
          </w:tcPr>
          <w:p>
            <w:pPr>
              <w:spacing w:after="40" w:line="264" w:lineRule="auto"/>
              <w:jc w:val="left"/>
            </w:pPr>
            <w:r/>
            <w:r>
              <w:rPr>
                <w:rFonts w:ascii="Times New Roman" w:hAnsi="Times New Roman"/>
                <w:b/>
                <w:sz w:val="23"/>
              </w:rPr>
              <w:t>Đất thương mại, dịch vụ</w:t>
            </w:r>
          </w:p>
        </w:tc>
        <w:tc>
          <w:tcPr>
            <w:tcW w:type="dxa" w:w="3361"/>
          </w:tcPr>
          <w:p>
            <w:pPr>
              <w:spacing w:after="40" w:line="264" w:lineRule="auto"/>
              <w:jc w:val="left"/>
            </w:pPr>
            <w:r/>
            <w:r>
              <w:rPr>
                <w:rFonts w:ascii="Times New Roman" w:hAnsi="Times New Roman"/>
                <w:b/>
                <w:sz w:val="23"/>
              </w:rPr>
              <w:t>1.554,5 m²</w:t>
            </w:r>
          </w:p>
        </w:tc>
        <w:tc>
          <w:tcPr>
            <w:tcW w:type="dxa" w:w="3100"/>
          </w:tcPr>
          <w:p>
            <w:pPr>
              <w:spacing w:after="40" w:line="264" w:lineRule="auto"/>
              <w:jc w:val="left"/>
            </w:pPr>
            <w:r/>
            <w:r>
              <w:rPr>
                <w:rFonts w:ascii="Times New Roman" w:hAnsi="Times New Roman"/>
                <w:sz w:val="23"/>
              </w:rPr>
              <w:t>Tổ hợp TMDV cao 7 tầng (~10.900 m² sàn)</w:t>
            </w:r>
          </w:p>
        </w:tc>
      </w:tr>
      <w:tr>
        <w:tc>
          <w:tcPr>
            <w:tcW w:type="dxa" w:w="2610"/>
          </w:tcPr>
          <w:p>
            <w:pPr>
              <w:spacing w:after="40" w:line="264" w:lineRule="auto"/>
              <w:jc w:val="left"/>
            </w:pPr>
            <w:r/>
            <w:r>
              <w:rPr>
                <w:rFonts w:ascii="Times New Roman" w:hAnsi="Times New Roman"/>
                <w:b/>
                <w:sz w:val="23"/>
              </w:rPr>
              <w:t>Đất công viên, mặt nước</w:t>
            </w:r>
          </w:p>
        </w:tc>
        <w:tc>
          <w:tcPr>
            <w:tcW w:type="dxa" w:w="3361"/>
          </w:tcPr>
          <w:p>
            <w:pPr>
              <w:spacing w:after="40" w:line="264" w:lineRule="auto"/>
              <w:jc w:val="left"/>
            </w:pPr>
            <w:r/>
            <w:r>
              <w:rPr>
                <w:rFonts w:ascii="Times New Roman" w:hAnsi="Times New Roman"/>
                <w:b/>
                <w:sz w:val="23"/>
              </w:rPr>
              <w:t>25.361,0 m² (hơn 2,5 ha)</w:t>
            </w:r>
          </w:p>
        </w:tc>
        <w:tc>
          <w:tcPr>
            <w:tcW w:type="dxa" w:w="3100"/>
          </w:tcPr>
          <w:p>
            <w:pPr>
              <w:spacing w:after="40" w:line="264" w:lineRule="auto"/>
              <w:jc w:val="left"/>
            </w:pPr>
            <w:r/>
            <w:r>
              <w:rPr>
                <w:rFonts w:ascii="Times New Roman" w:hAnsi="Times New Roman"/>
                <w:sz w:val="23"/>
              </w:rPr>
              <w:t>Hồ điều hòa cảnh quan &amp; công viên dạo bộ</w:t>
            </w:r>
          </w:p>
        </w:tc>
      </w:tr>
      <w:tr>
        <w:tc>
          <w:tcPr>
            <w:tcW w:type="dxa" w:w="2610"/>
          </w:tcPr>
          <w:p>
            <w:pPr>
              <w:spacing w:after="40" w:line="264" w:lineRule="auto"/>
              <w:jc w:val="left"/>
            </w:pPr>
            <w:r/>
            <w:r>
              <w:rPr>
                <w:rFonts w:ascii="Times New Roman" w:hAnsi="Times New Roman"/>
                <w:b/>
                <w:sz w:val="23"/>
              </w:rPr>
              <w:t>Đất nhà văn hóa, cơ quan</w:t>
            </w:r>
          </w:p>
        </w:tc>
        <w:tc>
          <w:tcPr>
            <w:tcW w:type="dxa" w:w="3361"/>
          </w:tcPr>
          <w:p>
            <w:pPr>
              <w:spacing w:after="40" w:line="264" w:lineRule="auto"/>
              <w:jc w:val="left"/>
            </w:pPr>
            <w:r/>
            <w:r>
              <w:rPr>
                <w:rFonts w:ascii="Times New Roman" w:hAnsi="Times New Roman"/>
                <w:b/>
                <w:sz w:val="23"/>
              </w:rPr>
              <w:t>6.551,6 m²</w:t>
            </w:r>
          </w:p>
        </w:tc>
        <w:tc>
          <w:tcPr>
            <w:tcW w:type="dxa" w:w="3100"/>
          </w:tcPr>
          <w:p>
            <w:pPr>
              <w:spacing w:after="40" w:line="264" w:lineRule="auto"/>
              <w:jc w:val="left"/>
            </w:pPr>
            <w:r/>
            <w:r>
              <w:rPr>
                <w:rFonts w:ascii="Times New Roman" w:hAnsi="Times New Roman"/>
                <w:sz w:val="23"/>
              </w:rPr>
              <w:t>Bàn giao địa phương xây dựng công trình văn hóa</w:t>
            </w:r>
          </w:p>
        </w:tc>
      </w:tr>
      <w:tr>
        <w:tc>
          <w:tcPr>
            <w:tcW w:type="dxa" w:w="2610"/>
          </w:tcPr>
          <w:p>
            <w:pPr>
              <w:spacing w:after="40" w:line="264" w:lineRule="auto"/>
              <w:jc w:val="left"/>
            </w:pPr>
            <w:r/>
            <w:r>
              <w:rPr>
                <w:rFonts w:ascii="Times New Roman" w:hAnsi="Times New Roman"/>
                <w:b/>
                <w:sz w:val="23"/>
              </w:rPr>
              <w:t>Đất hạ tầng kỹ thuật</w:t>
            </w:r>
          </w:p>
        </w:tc>
        <w:tc>
          <w:tcPr>
            <w:tcW w:type="dxa" w:w="3361"/>
          </w:tcPr>
          <w:p>
            <w:pPr>
              <w:spacing w:after="40" w:line="264" w:lineRule="auto"/>
              <w:jc w:val="left"/>
            </w:pPr>
            <w:r/>
            <w:r>
              <w:rPr>
                <w:rFonts w:ascii="Times New Roman" w:hAnsi="Times New Roman"/>
                <w:b/>
                <w:sz w:val="23"/>
              </w:rPr>
              <w:t>4.587,0 m²</w:t>
            </w:r>
          </w:p>
        </w:tc>
        <w:tc>
          <w:tcPr>
            <w:tcW w:type="dxa" w:w="3100"/>
          </w:tcPr>
          <w:p>
            <w:pPr>
              <w:spacing w:after="40" w:line="264" w:lineRule="auto"/>
              <w:jc w:val="left"/>
            </w:pPr>
            <w:r/>
            <w:r>
              <w:rPr>
                <w:rFonts w:ascii="Times New Roman" w:hAnsi="Times New Roman"/>
                <w:sz w:val="23"/>
              </w:rPr>
              <w:t>Trạm xử lý nước thải, trạm điện hạ thế ngầm</w:t>
            </w:r>
          </w:p>
        </w:tc>
      </w:tr>
      <w:tr>
        <w:tc>
          <w:tcPr>
            <w:tcW w:type="dxa" w:w="2610"/>
          </w:tcPr>
          <w:p>
            <w:pPr>
              <w:spacing w:after="40" w:line="264" w:lineRule="auto"/>
              <w:jc w:val="left"/>
            </w:pPr>
            <w:r/>
            <w:r>
              <w:rPr>
                <w:rFonts w:ascii="Times New Roman" w:hAnsi="Times New Roman"/>
                <w:b/>
                <w:sz w:val="23"/>
              </w:rPr>
              <w:t>Đất giao thông, vỉa hè</w:t>
            </w:r>
          </w:p>
        </w:tc>
        <w:tc>
          <w:tcPr>
            <w:tcW w:type="dxa" w:w="3361"/>
          </w:tcPr>
          <w:p>
            <w:pPr>
              <w:spacing w:after="40" w:line="264" w:lineRule="auto"/>
              <w:jc w:val="left"/>
            </w:pPr>
            <w:r/>
            <w:r>
              <w:rPr>
                <w:rFonts w:ascii="Times New Roman" w:hAnsi="Times New Roman"/>
                <w:b/>
                <w:sz w:val="23"/>
              </w:rPr>
              <w:t>66.084,8 m²</w:t>
            </w:r>
          </w:p>
        </w:tc>
        <w:tc>
          <w:tcPr>
            <w:tcW w:type="dxa" w:w="3100"/>
          </w:tcPr>
          <w:p>
            <w:pPr>
              <w:spacing w:after="40" w:line="264" w:lineRule="auto"/>
              <w:jc w:val="left"/>
            </w:pPr>
            <w:r/>
            <w:r>
              <w:rPr>
                <w:rFonts w:ascii="Times New Roman" w:hAnsi="Times New Roman"/>
                <w:sz w:val="23"/>
              </w:rPr>
              <w:t>Đường thảm nhựa rộng 13,5m, 17,5m và 20,5m</w:t>
            </w:r>
          </w:p>
        </w:tc>
      </w:tr>
    </w:tbl>
    <w:p>
      <w:pPr>
        <w:spacing w:after="40"/>
      </w:pPr>
    </w:p>
    <w:p>
      <w:pPr>
        <w:spacing w:before="240" w:after="120"/>
        <w:ind w:firstLine="0"/>
        <w:jc w:val="left"/>
      </w:pPr>
      <w:r>
        <w:rPr>
          <w:rFonts w:ascii="Times New Roman" w:hAnsi="Times New Roman"/>
          <w:b/>
          <w:color w:val="000000"/>
          <w:sz w:val="27"/>
        </w:rPr>
        <w:t>II. VỊ TRÍ CHIẾN LƯỢC &amp; HẠ TẦNG LIÊN KẾT VÙNG</w:t>
      </w:r>
    </w:p>
    <w:p>
      <w:pPr>
        <w:spacing w:after="120"/>
        <w:ind w:firstLine="567"/>
      </w:pPr>
      <w:r>
        <w:rPr>
          <w:rFonts w:ascii="Times New Roman" w:hAnsi="Times New Roman"/>
        </w:rPr>
        <w:t>Dự án Khu dân cư mới Bằng Quân sở hữu vị trí đắc địa tại cửa ngõ giao thương kinh tế của TP Hải Phòng sau sáp nhập địa giới:</w:t>
      </w:r>
    </w:p>
    <w:p>
      <w:pPr>
        <w:spacing w:after="80"/>
        <w:ind w:left="510" w:hanging="510"/>
      </w:pPr>
      <w:r>
        <w:rPr>
          <w:rFonts w:ascii="Times New Roman" w:hAnsi="Times New Roman"/>
        </w:rPr>
        <w:t xml:space="preserve">1. </w:t>
      </w:r>
      <w:r>
        <w:rPr>
          <w:rFonts w:ascii="Times New Roman" w:hAnsi="Times New Roman"/>
          <w:b/>
        </w:rPr>
        <w:t>Giao lộ kinh tế năng động</w:t>
      </w:r>
      <w:r>
        <w:rPr>
          <w:rFonts w:ascii="Times New Roman" w:hAnsi="Times New Roman"/>
        </w:rPr>
        <w:t>:</w:t>
      </w:r>
    </w:p>
    <w:p>
      <w:pPr>
        <w:spacing w:after="80"/>
        <w:ind w:left="794" w:hanging="283"/>
      </w:pPr>
      <w:r>
        <w:rPr>
          <w:rFonts w:ascii="Times New Roman" w:hAnsi="Times New Roman"/>
        </w:rPr>
        <w:t>– Tọa lạc sát trục đường tỉnh 194C và 394C (quy hoạch mở rộng mặt cắt 20,5m – 30m).</w:t>
      </w:r>
    </w:p>
    <w:p>
      <w:pPr>
        <w:spacing w:after="80"/>
        <w:ind w:left="794" w:hanging="283"/>
      </w:pPr>
      <w:r>
        <w:rPr>
          <w:rFonts w:ascii="Times New Roman" w:hAnsi="Times New Roman"/>
        </w:rPr>
        <w:t>– Kết nối trực tiếp Quốc lộ 5A (chỉ 5 phút di chuyển) và Cao tốc Hà Nội - Hải Phòng (nút giao huyết mạch kết nối toàn vùng Đông Bắc Bộ).</w:t>
      </w:r>
    </w:p>
    <w:p>
      <w:pPr>
        <w:spacing w:after="80"/>
        <w:ind w:left="794" w:hanging="283"/>
      </w:pPr>
      <w:r>
        <w:rPr>
          <w:rFonts w:ascii="Times New Roman" w:hAnsi="Times New Roman"/>
        </w:rPr>
        <w:t>– Di chuyển tới trung tâm TP Hải Dương cũ chỉ 12 phút, trung tâm TP Hải Phòng 35 phút, Thủ đô Hà Nội 45 phút.</w:t>
      </w:r>
    </w:p>
    <w:p>
      <w:pPr>
        <w:spacing w:after="80"/>
        <w:ind w:left="510" w:hanging="510"/>
      </w:pPr>
      <w:r>
        <w:rPr>
          <w:rFonts w:ascii="Times New Roman" w:hAnsi="Times New Roman"/>
        </w:rPr>
        <w:t xml:space="preserve">2. </w:t>
      </w:r>
      <w:r>
        <w:rPr>
          <w:rFonts w:ascii="Times New Roman" w:hAnsi="Times New Roman"/>
          <w:b/>
        </w:rPr>
        <w:t>Trung tâm vùng công nghiệp FDI tỷ USD</w:t>
      </w:r>
      <w:r>
        <w:rPr>
          <w:rFonts w:ascii="Times New Roman" w:hAnsi="Times New Roman"/>
        </w:rPr>
        <w:t>:</w:t>
      </w:r>
    </w:p>
    <w:p>
      <w:pPr>
        <w:spacing w:after="80"/>
        <w:ind w:left="794" w:hanging="283"/>
      </w:pPr>
      <w:r>
        <w:rPr>
          <w:rFonts w:ascii="Times New Roman" w:hAnsi="Times New Roman"/>
        </w:rPr>
        <w:t>– Nằm ngay tâm điểm bao quanh bởi chuỗi đại khu công nghiệp lớn nhất miền Bắc:</w:t>
      </w:r>
    </w:p>
    <w:p>
      <w:pPr>
        <w:spacing w:after="120"/>
        <w:ind w:firstLine="567"/>
      </w:pPr>
      <w:r>
        <w:rPr>
          <w:rFonts w:ascii="Times New Roman" w:hAnsi="Times New Roman"/>
        </w:rPr>
        <w:t xml:space="preserve">+ </w:t>
      </w:r>
      <w:r>
        <w:rPr>
          <w:rFonts w:ascii="Times New Roman" w:hAnsi="Times New Roman"/>
          <w:b/>
        </w:rPr>
        <w:t>KCN Tân Trường</w:t>
      </w:r>
      <w:r>
        <w:rPr>
          <w:rFonts w:ascii="Times New Roman" w:hAnsi="Times New Roman"/>
        </w:rPr>
        <w:t xml:space="preserve"> (240 ha) — cách 3,5 km (5 phút di chuyển), tỷ lệ lấp đầy 100%.</w:t>
      </w:r>
    </w:p>
    <w:p>
      <w:pPr>
        <w:spacing w:after="120"/>
        <w:ind w:firstLine="567"/>
      </w:pPr>
      <w:r>
        <w:rPr>
          <w:rFonts w:ascii="Times New Roman" w:hAnsi="Times New Roman"/>
        </w:rPr>
        <w:t xml:space="preserve">+ </w:t>
      </w:r>
      <w:r>
        <w:rPr>
          <w:rFonts w:ascii="Times New Roman" w:hAnsi="Times New Roman"/>
          <w:b/>
        </w:rPr>
        <w:t>KCN Đại An &amp; Đại An mở rộng</w:t>
      </w:r>
      <w:r>
        <w:rPr>
          <w:rFonts w:ascii="Times New Roman" w:hAnsi="Times New Roman"/>
        </w:rPr>
        <w:t xml:space="preserve"> (640 ha) — cách 6,2 km (8 phút di chuyển).</w:t>
      </w:r>
    </w:p>
    <w:p>
      <w:pPr>
        <w:spacing w:after="120"/>
        <w:ind w:firstLine="567"/>
      </w:pPr>
      <w:r>
        <w:rPr>
          <w:rFonts w:ascii="Times New Roman" w:hAnsi="Times New Roman"/>
        </w:rPr>
        <w:t xml:space="preserve">+ </w:t>
      </w:r>
      <w:r>
        <w:rPr>
          <w:rFonts w:ascii="Times New Roman" w:hAnsi="Times New Roman"/>
          <w:b/>
        </w:rPr>
        <w:t>KCN Phúc Điền &amp; Phúc Điền mở rộng</w:t>
      </w:r>
      <w:r>
        <w:rPr>
          <w:rFonts w:ascii="Times New Roman" w:hAnsi="Times New Roman"/>
        </w:rPr>
        <w:t xml:space="preserve"> (214 ha) — cách 4,8 km (6 phút di chuyển).</w:t>
      </w:r>
    </w:p>
    <w:p>
      <w:pPr>
        <w:spacing w:after="120"/>
        <w:ind w:firstLine="567"/>
      </w:pPr>
      <w:r>
        <w:rPr>
          <w:rFonts w:ascii="Times New Roman" w:hAnsi="Times New Roman"/>
        </w:rPr>
        <w:t xml:space="preserve">+ </w:t>
      </w:r>
      <w:r>
        <w:rPr>
          <w:rFonts w:ascii="Times New Roman" w:hAnsi="Times New Roman"/>
          <w:b/>
        </w:rPr>
        <w:t>KCN Lai Vu, KCN VSIP Hải Phòng</w:t>
      </w:r>
      <w:r>
        <w:rPr>
          <w:rFonts w:ascii="Times New Roman" w:hAnsi="Times New Roman"/>
        </w:rPr>
        <w:t>.</w:t>
      </w:r>
    </w:p>
    <w:p>
      <w:pPr>
        <w:spacing w:after="80"/>
        <w:ind w:left="794" w:hanging="283"/>
      </w:pPr>
      <w:r>
        <w:rPr>
          <w:rFonts w:ascii="Times New Roman" w:hAnsi="Times New Roman"/>
        </w:rPr>
        <w:t>– Hơn 150.000 kỹ sư, chuyên gia nước ngoài và người lao động có thu nhập cao tạo nên nhu cầu nhà ở thực và dịch vụ thương mại vô cùng bền vững.</w:t>
      </w:r>
    </w:p>
    <w:p>
      <w:pPr>
        <w:spacing w:before="240" w:after="120"/>
        <w:ind w:firstLine="0"/>
        <w:jc w:val="left"/>
      </w:pPr>
      <w:r>
        <w:rPr>
          <w:rFonts w:ascii="Times New Roman" w:hAnsi="Times New Roman"/>
          <w:b/>
          <w:color w:val="000000"/>
          <w:sz w:val="27"/>
        </w:rPr>
        <w:t>III. THIẾT KẾ KIẾN TRÚC 3D &amp; CƠ CẤU SẢN PHẨM THEO QUY HOẠCH 1/500</w:t>
      </w:r>
    </w:p>
    <w:p>
      <w:pPr>
        <w:spacing w:after="120"/>
        <w:ind w:firstLine="567"/>
      </w:pPr>
      <w:r>
        <w:rPr>
          <w:rFonts w:ascii="Times New Roman" w:hAnsi="Times New Roman"/>
        </w:rPr>
        <w:t>Dự án được tư vấn thiết kế theo phong cách đô thị sinh thái xanh, hiện đại và đồng bộ với 3 dòng sản phẩm chủ lực:</w:t>
      </w:r>
    </w:p>
    <w:p>
      <w:pPr>
        <w:spacing w:before="160" w:after="120"/>
        <w:ind w:firstLine="0"/>
        <w:jc w:val="left"/>
      </w:pPr>
      <w:r>
        <w:rPr>
          <w:rFonts w:ascii="Times New Roman" w:hAnsi="Times New Roman"/>
          <w:b/>
          <w:color w:val="000000"/>
          <w:sz w:val="26"/>
        </w:rPr>
        <w:t>1. Nhà phố thương mại Shophouse (Ký hiệu OKD — 70 lô)</w:t>
      </w:r>
    </w:p>
    <w:p>
      <w:pPr>
        <w:spacing w:after="80"/>
        <w:ind w:left="794" w:hanging="283"/>
      </w:pPr>
      <w:r>
        <w:rPr>
          <w:rFonts w:ascii="Times New Roman" w:hAnsi="Times New Roman"/>
        </w:rPr>
        <w:t xml:space="preserve">– </w:t>
      </w:r>
      <w:r>
        <w:rPr>
          <w:rFonts w:ascii="Times New Roman" w:hAnsi="Times New Roman"/>
          <w:b/>
        </w:rPr>
        <w:t>Quy hoạch vị trí</w:t>
      </w:r>
      <w:r>
        <w:rPr>
          <w:rFonts w:ascii="Times New Roman" w:hAnsi="Times New Roman"/>
        </w:rPr>
        <w:t>: Bố trí tại các trục đường nội khu chính rộng 20,5m và tiếp giáp phân khu thương mại dịch vụ (gồm 4 khối dãy: OKD1, OKD2, OKD3, OKD4).</w:t>
      </w:r>
    </w:p>
    <w:p>
      <w:pPr>
        <w:spacing w:after="80"/>
        <w:ind w:left="794" w:hanging="283"/>
      </w:pPr>
      <w:r>
        <w:rPr>
          <w:rFonts w:ascii="Times New Roman" w:hAnsi="Times New Roman"/>
        </w:rPr>
        <w:t xml:space="preserve">– </w:t>
      </w:r>
      <w:r>
        <w:rPr>
          <w:rFonts w:ascii="Times New Roman" w:hAnsi="Times New Roman"/>
          <w:b/>
        </w:rPr>
        <w:t>Diện tích lô đất</w:t>
      </w:r>
      <w:r>
        <w:rPr>
          <w:rFonts w:ascii="Times New Roman" w:hAnsi="Times New Roman"/>
        </w:rPr>
        <w:t>: Từ 62,0 m² đến 114,5 m² (trung bình 83,2 m²; các lô góc từ 110 – 123,5 m²). Mặt tiền tiêu chuẩn 5,0m – 6,0m.</w:t>
      </w:r>
    </w:p>
    <w:p>
      <w:pPr>
        <w:spacing w:after="80"/>
        <w:ind w:left="794" w:hanging="283"/>
      </w:pPr>
      <w:r>
        <w:rPr>
          <w:rFonts w:ascii="Times New Roman" w:hAnsi="Times New Roman"/>
        </w:rPr>
        <w:t xml:space="preserve">– </w:t>
      </w:r>
      <w:r>
        <w:rPr>
          <w:rFonts w:ascii="Times New Roman" w:hAnsi="Times New Roman"/>
          <w:b/>
        </w:rPr>
        <w:t>Quy cách xây dựng</w:t>
      </w:r>
      <w:r>
        <w:rPr>
          <w:rFonts w:ascii="Times New Roman" w:hAnsi="Times New Roman"/>
        </w:rPr>
        <w:t>: Chiều cao 4 tầng + 1 tum; mật độ xây dựng 80% – 85%.</w:t>
      </w:r>
    </w:p>
    <w:p>
      <w:pPr>
        <w:spacing w:after="80"/>
        <w:ind w:left="794" w:hanging="283"/>
      </w:pPr>
      <w:r>
        <w:rPr>
          <w:rFonts w:ascii="Times New Roman" w:hAnsi="Times New Roman"/>
        </w:rPr>
        <w:t xml:space="preserve">– </w:t>
      </w:r>
      <w:r>
        <w:rPr>
          <w:rFonts w:ascii="Times New Roman" w:hAnsi="Times New Roman"/>
          <w:b/>
        </w:rPr>
        <w:t>Ý tưởng thiết kế 3D</w:t>
      </w:r>
      <w:r>
        <w:rPr>
          <w:rFonts w:ascii="Times New Roman" w:hAnsi="Times New Roman"/>
        </w:rPr>
        <w:t>: Kiến trúc tân cổ điển kết hợp phong cách châu Âu hiện đại, tầng 1 ốp đá tự nhiên sang trọng dành riêng cho kinh doanh nhà hàng, cafe, ngân hàng, spa; các tầng trên là không gian sống tiện nghi.</w:t>
      </w:r>
    </w:p>
    <w:p>
      <w:pPr>
        <w:spacing w:before="160" w:after="120"/>
        <w:ind w:firstLine="0"/>
        <w:jc w:val="left"/>
      </w:pPr>
      <w:r>
        <w:rPr>
          <w:rFonts w:ascii="Times New Roman" w:hAnsi="Times New Roman"/>
          <w:b/>
          <w:color w:val="000000"/>
          <w:sz w:val="26"/>
        </w:rPr>
        <w:t>2. Nhà phố liền kề sinh thái (Ký hiệu LK — 313 lô)</w:t>
      </w:r>
    </w:p>
    <w:p>
      <w:pPr>
        <w:spacing w:after="80"/>
        <w:ind w:left="794" w:hanging="283"/>
      </w:pPr>
      <w:r>
        <w:rPr>
          <w:rFonts w:ascii="Times New Roman" w:hAnsi="Times New Roman"/>
        </w:rPr>
        <w:t xml:space="preserve">– </w:t>
      </w:r>
      <w:r>
        <w:rPr>
          <w:rFonts w:ascii="Times New Roman" w:hAnsi="Times New Roman"/>
          <w:b/>
        </w:rPr>
        <w:t>Quy hoạch vị trí</w:t>
      </w:r>
      <w:r>
        <w:rPr>
          <w:rFonts w:ascii="Times New Roman" w:hAnsi="Times New Roman"/>
        </w:rPr>
        <w:t>: Bố trí tại các tuyến phố nội khu yên tĩnh rộng 13,5m và 17,5m, liên kết trực tiếp với công viên (gồm 8 khối dãy: LK1 đến LK8).</w:t>
      </w:r>
    </w:p>
    <w:p>
      <w:pPr>
        <w:spacing w:after="80"/>
        <w:ind w:left="794" w:hanging="283"/>
      </w:pPr>
      <w:r>
        <w:rPr>
          <w:rFonts w:ascii="Times New Roman" w:hAnsi="Times New Roman"/>
        </w:rPr>
        <w:t xml:space="preserve">– </w:t>
      </w:r>
      <w:r>
        <w:rPr>
          <w:rFonts w:ascii="Times New Roman" w:hAnsi="Times New Roman"/>
          <w:b/>
        </w:rPr>
        <w:t>Diện tích lô đất</w:t>
      </w:r>
      <w:r>
        <w:rPr>
          <w:rFonts w:ascii="Times New Roman" w:hAnsi="Times New Roman"/>
        </w:rPr>
        <w:t>: Từ 64,1 m² đến 148,2 m² (trung bình 86,2 m²; đa số lô điển hình 85 m² với mặt tiền 5,0m, chiều sâu 17m).</w:t>
      </w:r>
    </w:p>
    <w:p>
      <w:pPr>
        <w:spacing w:after="80"/>
        <w:ind w:left="794" w:hanging="283"/>
      </w:pPr>
      <w:r>
        <w:rPr>
          <w:rFonts w:ascii="Times New Roman" w:hAnsi="Times New Roman"/>
        </w:rPr>
        <w:t xml:space="preserve">– </w:t>
      </w:r>
      <w:r>
        <w:rPr>
          <w:rFonts w:ascii="Times New Roman" w:hAnsi="Times New Roman"/>
          <w:b/>
        </w:rPr>
        <w:t>Quy cách xây dựng</w:t>
      </w:r>
      <w:r>
        <w:rPr>
          <w:rFonts w:ascii="Times New Roman" w:hAnsi="Times New Roman"/>
        </w:rPr>
        <w:t>: Chiều cao 4 tầng + 1 tum; mật độ xây dựng 80% – 85%.</w:t>
      </w:r>
    </w:p>
    <w:p>
      <w:pPr>
        <w:spacing w:after="80"/>
        <w:ind w:left="794" w:hanging="283"/>
      </w:pPr>
      <w:r>
        <w:rPr>
          <w:rFonts w:ascii="Times New Roman" w:hAnsi="Times New Roman"/>
        </w:rPr>
        <w:t xml:space="preserve">– </w:t>
      </w:r>
      <w:r>
        <w:rPr>
          <w:rFonts w:ascii="Times New Roman" w:hAnsi="Times New Roman"/>
          <w:b/>
        </w:rPr>
        <w:t>Ý tưởng thiết kế 3D</w:t>
      </w:r>
      <w:r>
        <w:rPr>
          <w:rFonts w:ascii="Times New Roman" w:hAnsi="Times New Roman"/>
        </w:rPr>
        <w:t>: Đường nét kiến trúc thanh lịch, hiện đại, tối đa hóa ánh sáng tự nhiên với ban công cây xanh thoáng đãng, vỉa hè lát đá rợp bóng cây.</w:t>
      </w:r>
    </w:p>
    <w:p>
      <w:pPr>
        <w:spacing w:before="160" w:after="120"/>
        <w:ind w:firstLine="0"/>
        <w:jc w:val="left"/>
      </w:pPr>
      <w:r>
        <w:rPr>
          <w:rFonts w:ascii="Times New Roman" w:hAnsi="Times New Roman"/>
          <w:b/>
          <w:color w:val="000000"/>
          <w:sz w:val="26"/>
        </w:rPr>
        <w:t>3. Biệt thự nhà vườn sinh thái ven hồ (Ký hiệu NV — 54 lô)</w:t>
      </w:r>
    </w:p>
    <w:p>
      <w:pPr>
        <w:spacing w:after="80"/>
        <w:ind w:left="794" w:hanging="283"/>
      </w:pPr>
      <w:r>
        <w:rPr>
          <w:rFonts w:ascii="Times New Roman" w:hAnsi="Times New Roman"/>
        </w:rPr>
        <w:t xml:space="preserve">– </w:t>
      </w:r>
      <w:r>
        <w:rPr>
          <w:rFonts w:ascii="Times New Roman" w:hAnsi="Times New Roman"/>
          <w:b/>
        </w:rPr>
        <w:t>Quy hoạch vị trí</w:t>
      </w:r>
      <w:r>
        <w:rPr>
          <w:rFonts w:ascii="Times New Roman" w:hAnsi="Times New Roman"/>
        </w:rPr>
        <w:t>: Bố trí tại vị trí đắc địa nhất dự án ôm trọn công viên và hồ điều hòa 2,5 ha (gồm 3 khối dãy: NV01, NV02, NV03).</w:t>
      </w:r>
    </w:p>
    <w:p>
      <w:pPr>
        <w:spacing w:after="80"/>
        <w:ind w:left="794" w:hanging="283"/>
      </w:pPr>
      <w:r>
        <w:rPr>
          <w:rFonts w:ascii="Times New Roman" w:hAnsi="Times New Roman"/>
        </w:rPr>
        <w:t xml:space="preserve">– </w:t>
      </w:r>
      <w:r>
        <w:rPr>
          <w:rFonts w:ascii="Times New Roman" w:hAnsi="Times New Roman"/>
          <w:b/>
        </w:rPr>
        <w:t>Diện tích lô đất</w:t>
      </w:r>
      <w:r>
        <w:rPr>
          <w:rFonts w:ascii="Times New Roman" w:hAnsi="Times New Roman"/>
        </w:rPr>
        <w:t>: Từ 144,5 m² đến 337,5 m² (trung bình 162,7 m²). Mặt tiền rộng rãi từ 10m đến 15m.</w:t>
      </w:r>
    </w:p>
    <w:p>
      <w:pPr>
        <w:spacing w:after="80"/>
        <w:ind w:left="794" w:hanging="283"/>
      </w:pPr>
      <w:r>
        <w:rPr>
          <w:rFonts w:ascii="Times New Roman" w:hAnsi="Times New Roman"/>
        </w:rPr>
        <w:t xml:space="preserve">– </w:t>
      </w:r>
      <w:r>
        <w:rPr>
          <w:rFonts w:ascii="Times New Roman" w:hAnsi="Times New Roman"/>
          <w:b/>
        </w:rPr>
        <w:t>Quy cách xây dựng</w:t>
      </w:r>
      <w:r>
        <w:rPr>
          <w:rFonts w:ascii="Times New Roman" w:hAnsi="Times New Roman"/>
        </w:rPr>
        <w:t>: Chiều cao 3 tầng; mật độ xây dựng 60% – 65%.</w:t>
      </w:r>
    </w:p>
    <w:p>
      <w:pPr>
        <w:spacing w:after="80"/>
        <w:ind w:left="794" w:hanging="283"/>
      </w:pPr>
      <w:r>
        <w:rPr>
          <w:rFonts w:ascii="Times New Roman" w:hAnsi="Times New Roman"/>
        </w:rPr>
        <w:t xml:space="preserve">– </w:t>
      </w:r>
      <w:r>
        <w:rPr>
          <w:rFonts w:ascii="Times New Roman" w:hAnsi="Times New Roman"/>
          <w:b/>
        </w:rPr>
        <w:t>Ý tưởng thiết kế 3D</w:t>
      </w:r>
      <w:r>
        <w:rPr>
          <w:rFonts w:ascii="Times New Roman" w:hAnsi="Times New Roman"/>
        </w:rPr>
        <w:t>: Phong cách resort nhiệt đới (tropical luxury), tầm nhìn 100% hướng hồ nước sinh thái trong lành, có sân vườn riêng, gara ô tô và không gian bể bơi thư giãn.</w:t>
      </w:r>
    </w:p>
    <w:p>
      <w:pPr>
        <w:spacing w:before="160" w:after="120"/>
        <w:ind w:firstLine="0"/>
        <w:jc w:val="left"/>
      </w:pPr>
      <w:r>
        <w:rPr>
          <w:rFonts w:ascii="Times New Roman" w:hAnsi="Times New Roman"/>
          <w:b/>
          <w:color w:val="000000"/>
          <w:sz w:val="26"/>
        </w:rPr>
        <w:t>4. Khối Tổ hợp Thương mại – Dịch vụ 7 tầng (Commercial Landmark)</w:t>
      </w:r>
    </w:p>
    <w:p>
      <w:pPr>
        <w:spacing w:after="80"/>
        <w:ind w:left="794" w:hanging="283"/>
      </w:pPr>
      <w:r>
        <w:rPr>
          <w:rFonts w:ascii="Times New Roman" w:hAnsi="Times New Roman"/>
        </w:rPr>
        <w:t xml:space="preserve">– </w:t>
      </w:r>
      <w:r>
        <w:rPr>
          <w:rFonts w:ascii="Times New Roman" w:hAnsi="Times New Roman"/>
          <w:b/>
        </w:rPr>
        <w:t>Quy mô</w:t>
      </w:r>
      <w:r>
        <w:rPr>
          <w:rFonts w:ascii="Times New Roman" w:hAnsi="Times New Roman"/>
        </w:rPr>
        <w:t>: 1.554,5 m² đất, tổng sàn xây dựng khoảng 10.900 m².</w:t>
      </w:r>
    </w:p>
    <w:p>
      <w:pPr>
        <w:spacing w:after="80"/>
        <w:ind w:left="794" w:hanging="283"/>
      </w:pPr>
      <w:r>
        <w:rPr>
          <w:rFonts w:ascii="Times New Roman" w:hAnsi="Times New Roman"/>
        </w:rPr>
        <w:t xml:space="preserve">– </w:t>
      </w:r>
      <w:r>
        <w:rPr>
          <w:rFonts w:ascii="Times New Roman" w:hAnsi="Times New Roman"/>
          <w:b/>
        </w:rPr>
        <w:t>Chức năng</w:t>
      </w:r>
      <w:r>
        <w:rPr>
          <w:rFonts w:ascii="Times New Roman" w:hAnsi="Times New Roman"/>
        </w:rPr>
        <w:t>: Siêu thị tiện ích, trung tâm thời trang, tổ hợp nhà hàng ẩm thực, trung tâm tổ chức sự kiện, phòng gym - fitness cao cấp và văn phòng cho thuê.</w:t>
      </w:r>
    </w:p>
    <w:p>
      <w:pPr>
        <w:spacing w:before="240" w:after="120"/>
        <w:ind w:firstLine="0"/>
        <w:jc w:val="left"/>
      </w:pPr>
      <w:r>
        <w:rPr>
          <w:rFonts w:ascii="Times New Roman" w:hAnsi="Times New Roman"/>
          <w:b/>
          <w:color w:val="000000"/>
          <w:sz w:val="27"/>
        </w:rPr>
        <w:t>IV. HỆ SINH THÁI TIỆN ÍCH ALL-IN-ONE ĐẲNG CẤP</w:t>
      </w:r>
    </w:p>
    <w:p>
      <w:pPr>
        <w:spacing w:after="80"/>
        <w:ind w:left="510" w:hanging="510"/>
      </w:pPr>
      <w:r>
        <w:rPr>
          <w:rFonts w:ascii="Times New Roman" w:hAnsi="Times New Roman"/>
        </w:rPr>
        <w:t xml:space="preserve">1. </w:t>
      </w:r>
      <w:r>
        <w:rPr>
          <w:rFonts w:ascii="Times New Roman" w:hAnsi="Times New Roman"/>
          <w:b/>
        </w:rPr>
        <w:t>Công viên hồ điều hòa trung tâm 25.361 m² (hơn 2,5 ha)</w:t>
      </w:r>
      <w:r>
        <w:rPr>
          <w:rFonts w:ascii="Times New Roman" w:hAnsi="Times New Roman"/>
        </w:rPr>
        <w:t>: Điểm nhấn cảnh quan lớn nhất khu vực với đường dạo bộ ven hồ lát đá granite, cầu ngắm cảnh vươn ra mặt nước, chòi nghỉ và vườn hoa nhiệt đới.</w:t>
      </w:r>
    </w:p>
    <w:p>
      <w:pPr>
        <w:spacing w:after="80"/>
        <w:ind w:left="510" w:hanging="510"/>
      </w:pPr>
      <w:r>
        <w:rPr>
          <w:rFonts w:ascii="Times New Roman" w:hAnsi="Times New Roman"/>
        </w:rPr>
        <w:t xml:space="preserve">2. </w:t>
      </w:r>
      <w:r>
        <w:rPr>
          <w:rFonts w:ascii="Times New Roman" w:hAnsi="Times New Roman"/>
          <w:b/>
        </w:rPr>
        <w:t>Khu thể dục thể thao ngoài trời</w:t>
      </w:r>
      <w:r>
        <w:rPr>
          <w:rFonts w:ascii="Times New Roman" w:hAnsi="Times New Roman"/>
        </w:rPr>
        <w:t>: Sân bóng rổ, sân tennis, đường chạy bộ ven hồ và khu máy tập thể thao đa năng.</w:t>
      </w:r>
    </w:p>
    <w:p>
      <w:pPr>
        <w:spacing w:after="80"/>
        <w:ind w:left="510" w:hanging="510"/>
      </w:pPr>
      <w:r>
        <w:rPr>
          <w:rFonts w:ascii="Times New Roman" w:hAnsi="Times New Roman"/>
        </w:rPr>
        <w:t xml:space="preserve">3. </w:t>
      </w:r>
      <w:r>
        <w:rPr>
          <w:rFonts w:ascii="Times New Roman" w:hAnsi="Times New Roman"/>
          <w:b/>
        </w:rPr>
        <w:t>Quảng trường ánh sáng &amp; Khu vui chơi trẻ em</w:t>
      </w:r>
      <w:r>
        <w:rPr>
          <w:rFonts w:ascii="Times New Roman" w:hAnsi="Times New Roman"/>
        </w:rPr>
        <w:t>: Không gian sinh hoạt cộng đồng thoáng đãng, an toàn cho trẻ nhỏ.</w:t>
      </w:r>
    </w:p>
    <w:p>
      <w:pPr>
        <w:spacing w:after="80"/>
        <w:ind w:left="510" w:hanging="510"/>
      </w:pPr>
      <w:r>
        <w:rPr>
          <w:rFonts w:ascii="Times New Roman" w:hAnsi="Times New Roman"/>
        </w:rPr>
        <w:t xml:space="preserve">4. </w:t>
      </w:r>
      <w:r>
        <w:rPr>
          <w:rFonts w:ascii="Times New Roman" w:hAnsi="Times New Roman"/>
          <w:b/>
        </w:rPr>
        <w:t>Hệ thống hạ tầng kỹ thuật ngầm hóa 100%</w:t>
      </w:r>
      <w:r>
        <w:rPr>
          <w:rFonts w:ascii="Times New Roman" w:hAnsi="Times New Roman"/>
        </w:rPr>
        <w:t>: Toàn bộ mạng lưới điện sinh hoạt, chiếu sáng công cộng, cấp nước và viễn thông được ngầm hóa tuyệt đối; trạm xử lý nước thải công nghệ cao 4.587 m².</w:t>
      </w:r>
    </w:p>
    <w:p>
      <w:pPr>
        <w:spacing w:after="80"/>
        <w:ind w:left="510" w:hanging="510"/>
      </w:pPr>
      <w:r>
        <w:rPr>
          <w:rFonts w:ascii="Times New Roman" w:hAnsi="Times New Roman"/>
        </w:rPr>
        <w:t xml:space="preserve">5. </w:t>
      </w:r>
      <w:r>
        <w:rPr>
          <w:rFonts w:ascii="Times New Roman" w:hAnsi="Times New Roman"/>
          <w:b/>
        </w:rPr>
        <w:t>Công trình an sinh xã hội tích hợp</w:t>
      </w:r>
      <w:r>
        <w:rPr>
          <w:rFonts w:ascii="Times New Roman" w:hAnsi="Times New Roman"/>
        </w:rPr>
        <w:t>: Quỹ đất công trình công cộng, nhà văn hóa và trường học 6.551,6 m² được quy hoạch bài bản.</w:t>
      </w:r>
    </w:p>
    <w:p>
      <w:pPr>
        <w:spacing w:before="240" w:after="120"/>
        <w:ind w:firstLine="0"/>
        <w:jc w:val="left"/>
      </w:pPr>
      <w:r>
        <w:rPr>
          <w:rFonts w:ascii="Times New Roman" w:hAnsi="Times New Roman"/>
          <w:b/>
          <w:color w:val="000000"/>
          <w:sz w:val="27"/>
        </w:rPr>
        <w:t>V. HIỆN TRẠNG PHÁP LÝ &amp; GIẢI PHÓNG MẶT BẰNG HOÀN CHỈNH</w:t>
      </w:r>
    </w:p>
    <w:p>
      <w:pPr>
        <w:spacing w:after="120"/>
        <w:ind w:firstLine="567"/>
      </w:pPr>
      <w:r>
        <w:rPr>
          <w:rFonts w:ascii="Times New Roman" w:hAnsi="Times New Roman"/>
        </w:rPr>
        <w:t>Dự án có nền tảng pháp lý vững chắc, bảo đảm an toàn tuyệt đối cho các đối tác tham gia:</w:t>
      </w:r>
    </w:p>
    <w:p>
      <w:pPr>
        <w:spacing w:after="80"/>
        <w:ind w:left="510" w:hanging="510"/>
      </w:pPr>
      <w:r>
        <w:rPr>
          <w:rFonts w:ascii="Times New Roman" w:hAnsi="Times New Roman"/>
        </w:rPr>
        <w:t xml:space="preserve">1. </w:t>
      </w:r>
      <w:r>
        <w:rPr>
          <w:rFonts w:ascii="Times New Roman" w:hAnsi="Times New Roman"/>
          <w:b/>
        </w:rPr>
        <w:t>Quyết định chủ trương đầu tư</w:t>
      </w:r>
      <w:r>
        <w:rPr>
          <w:rFonts w:ascii="Times New Roman" w:hAnsi="Times New Roman"/>
        </w:rPr>
        <w:t>: Quyết định số 1925/QĐ-UBND ngày 30/7/2024 và Quyết định phê duyệt điều chỉnh số 1202/QĐ-UBND ngày 22/4/2025 của UBND cấp thẩm quyền.</w:t>
      </w:r>
    </w:p>
    <w:p>
      <w:pPr>
        <w:spacing w:after="80"/>
        <w:ind w:left="510" w:hanging="510"/>
      </w:pPr>
      <w:r>
        <w:rPr>
          <w:rFonts w:ascii="Times New Roman" w:hAnsi="Times New Roman"/>
        </w:rPr>
        <w:t xml:space="preserve">2. </w:t>
      </w:r>
      <w:r>
        <w:rPr>
          <w:rFonts w:ascii="Times New Roman" w:hAnsi="Times New Roman"/>
          <w:b/>
        </w:rPr>
        <w:t>Kết quả đấu thầu lựa chọn nhà đầu tư</w:t>
      </w:r>
      <w:r>
        <w:rPr>
          <w:rFonts w:ascii="Times New Roman" w:hAnsi="Times New Roman"/>
        </w:rPr>
        <w:t>: Quyết định số 3781/QĐ-UBND ngày 17/9/2025 công nhận Công ty TNHH Hưng Thịnh Phát Thủ Đô là Nhà đầu tư trúng thầu hợp pháp.</w:t>
      </w:r>
    </w:p>
    <w:p>
      <w:pPr>
        <w:spacing w:after="80"/>
        <w:ind w:left="510" w:hanging="510"/>
      </w:pPr>
      <w:r>
        <w:rPr>
          <w:rFonts w:ascii="Times New Roman" w:hAnsi="Times New Roman"/>
        </w:rPr>
        <w:t xml:space="preserve">3. </w:t>
      </w:r>
      <w:r>
        <w:rPr>
          <w:rFonts w:ascii="Times New Roman" w:hAnsi="Times New Roman"/>
          <w:b/>
        </w:rPr>
        <w:t>Hợp đồng thực hiện dự án</w:t>
      </w:r>
      <w:r>
        <w:rPr>
          <w:rFonts w:ascii="Times New Roman" w:hAnsi="Times New Roman"/>
        </w:rPr>
        <w:t>: Hợp đồng số 04/2025/HĐDA ngày 25/11/2025 đã được ký kết chính thức với cơ quan nhà nước có thẩm quyền.</w:t>
      </w:r>
    </w:p>
    <w:p>
      <w:pPr>
        <w:spacing w:after="80"/>
        <w:ind w:left="510" w:hanging="510"/>
      </w:pPr>
      <w:r>
        <w:rPr>
          <w:rFonts w:ascii="Times New Roman" w:hAnsi="Times New Roman"/>
        </w:rPr>
        <w:t xml:space="preserve">4. </w:t>
      </w:r>
      <w:r>
        <w:rPr>
          <w:rFonts w:ascii="Times New Roman" w:hAnsi="Times New Roman"/>
          <w:b/>
        </w:rPr>
        <w:t>Quy hoạch chi tiết 1/500</w:t>
      </w:r>
      <w:r>
        <w:rPr>
          <w:rFonts w:ascii="Times New Roman" w:hAnsi="Times New Roman"/>
        </w:rPr>
        <w:t>: Đã được cơ quan quản lý nhà nước phê duyệt chính thức toàn văn cùng bản vẽ thiết kế phân lô kỹ thuật.</w:t>
      </w:r>
    </w:p>
    <w:p>
      <w:pPr>
        <w:spacing w:after="80"/>
        <w:ind w:left="510" w:hanging="510"/>
      </w:pPr>
      <w:r>
        <w:rPr>
          <w:rFonts w:ascii="Times New Roman" w:hAnsi="Times New Roman"/>
        </w:rPr>
        <w:t xml:space="preserve">5. </w:t>
      </w:r>
      <w:r>
        <w:rPr>
          <w:rFonts w:ascii="Times New Roman" w:hAnsi="Times New Roman"/>
          <w:b/>
        </w:rPr>
        <w:t>Tiến độ Giải phóng mặt bằng (GPMB) xuất sắc</w:t>
      </w:r>
      <w:r>
        <w:rPr>
          <w:rFonts w:ascii="Times New Roman" w:hAnsi="Times New Roman"/>
        </w:rPr>
        <w:t>:</w:t>
      </w:r>
    </w:p>
    <w:p>
      <w:pPr>
        <w:spacing w:after="80"/>
        <w:ind w:left="794" w:hanging="283"/>
      </w:pPr>
      <w:r>
        <w:rPr>
          <w:rFonts w:ascii="Times New Roman" w:hAnsi="Times New Roman"/>
        </w:rPr>
        <w:t xml:space="preserve">– Đã vận động thành công </w:t>
      </w:r>
      <w:r>
        <w:rPr>
          <w:rFonts w:ascii="Times New Roman" w:hAnsi="Times New Roman"/>
          <w:b/>
        </w:rPr>
        <w:t>96% số hộ dân</w:t>
      </w:r>
      <w:r>
        <w:rPr>
          <w:rFonts w:ascii="Times New Roman" w:hAnsi="Times New Roman"/>
        </w:rPr>
        <w:t xml:space="preserve"> có đất thu hồi ký cam kết bàn giao mặt bằng.</w:t>
      </w:r>
    </w:p>
    <w:p>
      <w:pPr>
        <w:spacing w:after="80"/>
        <w:ind w:left="794" w:hanging="283"/>
      </w:pPr>
      <w:r>
        <w:rPr>
          <w:rFonts w:ascii="Times New Roman" w:hAnsi="Times New Roman"/>
        </w:rPr>
        <w:t xml:space="preserve">– UBND cấp thẩm quyền đã ban hành </w:t>
      </w:r>
      <w:r>
        <w:rPr>
          <w:rFonts w:ascii="Times New Roman" w:hAnsi="Times New Roman"/>
          <w:b/>
        </w:rPr>
        <w:t>03 Quyết định phê duyệt phương án bồi thường, hỗ trợ đợt 1, 2, 3</w:t>
      </w:r>
      <w:r>
        <w:rPr>
          <w:rFonts w:ascii="Times New Roman" w:hAnsi="Times New Roman"/>
        </w:rPr>
        <w:t>:</w:t>
      </w:r>
    </w:p>
    <w:p>
      <w:pPr>
        <w:spacing w:after="120"/>
        <w:ind w:firstLine="567"/>
      </w:pPr>
      <w:r>
        <w:rPr>
          <w:rFonts w:ascii="Times New Roman" w:hAnsi="Times New Roman"/>
        </w:rPr>
        <w:t xml:space="preserve">+ </w:t>
      </w:r>
      <w:r>
        <w:rPr>
          <w:rFonts w:ascii="Times New Roman" w:hAnsi="Times New Roman"/>
          <w:i/>
        </w:rPr>
        <w:t>Đợt 1 (QĐ 1195/QĐ-UBND ngày 05/8/2026)</w:t>
      </w:r>
      <w:r>
        <w:rPr>
          <w:rFonts w:ascii="Times New Roman" w:hAnsi="Times New Roman"/>
        </w:rPr>
        <w:t>: 25 hộ, diện tích 14.688,3 m², kinh phí 9,652 tỷ đồng.</w:t>
      </w:r>
    </w:p>
    <w:p>
      <w:pPr>
        <w:spacing w:after="120"/>
        <w:ind w:firstLine="567"/>
      </w:pPr>
      <w:r>
        <w:rPr>
          <w:rFonts w:ascii="Times New Roman" w:hAnsi="Times New Roman"/>
        </w:rPr>
        <w:t xml:space="preserve">+ </w:t>
      </w:r>
      <w:r>
        <w:rPr>
          <w:rFonts w:ascii="Times New Roman" w:hAnsi="Times New Roman"/>
          <w:i/>
        </w:rPr>
        <w:t>Đợt 2 (QĐ 1295/QĐ-UBND ngày 03/9/2026)</w:t>
      </w:r>
      <w:r>
        <w:rPr>
          <w:rFonts w:ascii="Times New Roman" w:hAnsi="Times New Roman"/>
        </w:rPr>
        <w:t>: 77 hộ, diện tích 70.575,9 m², kinh phí 46,435 tỷ đồng.</w:t>
      </w:r>
    </w:p>
    <w:p>
      <w:pPr>
        <w:spacing w:after="120"/>
        <w:ind w:firstLine="567"/>
      </w:pPr>
      <w:r>
        <w:rPr>
          <w:rFonts w:ascii="Times New Roman" w:hAnsi="Times New Roman"/>
        </w:rPr>
        <w:t xml:space="preserve">+ </w:t>
      </w:r>
      <w:r>
        <w:rPr>
          <w:rFonts w:ascii="Times New Roman" w:hAnsi="Times New Roman"/>
          <w:i/>
        </w:rPr>
        <w:t>Đợt 3 (QĐ 1329/QĐ-UBND ngày 10/9/2026)</w:t>
      </w:r>
      <w:r>
        <w:rPr>
          <w:rFonts w:ascii="Times New Roman" w:hAnsi="Times New Roman"/>
        </w:rPr>
        <w:t>: 39 hộ, diện tích 21.670,0 m², kinh phí 14,675 tỷ đồng.</w:t>
      </w:r>
    </w:p>
    <w:p>
      <w:pPr>
        <w:spacing w:after="120"/>
        <w:ind w:firstLine="567"/>
      </w:pPr>
      <w:r>
        <w:rPr>
          <w:rFonts w:ascii="Times New Roman" w:hAnsi="Times New Roman"/>
        </w:rPr>
        <w:t xml:space="preserve">+ </w:t>
      </w:r>
      <w:r>
        <w:rPr>
          <w:rFonts w:ascii="Times New Roman" w:hAnsi="Times New Roman"/>
          <w:b/>
        </w:rPr>
        <w:t>Tổng cộng 3 đợt</w:t>
      </w:r>
      <w:r>
        <w:rPr>
          <w:rFonts w:ascii="Times New Roman" w:hAnsi="Times New Roman"/>
        </w:rPr>
        <w:t xml:space="preserve">: 141 hộ dân, diện tích </w:t>
      </w:r>
      <w:r>
        <w:rPr>
          <w:rFonts w:ascii="Times New Roman" w:hAnsi="Times New Roman"/>
          <w:b/>
        </w:rPr>
        <w:t>106.934,2 m² (đạt gần 75% toàn bộ diện tích dự án)</w:t>
      </w:r>
      <w:r>
        <w:rPr>
          <w:rFonts w:ascii="Times New Roman" w:hAnsi="Times New Roman"/>
        </w:rPr>
        <w:t xml:space="preserve">, kinh phí bồi thường </w:t>
      </w:r>
      <w:r>
        <w:rPr>
          <w:rFonts w:ascii="Times New Roman" w:hAnsi="Times New Roman"/>
          <w:b/>
        </w:rPr>
        <w:t>70,76 tỷ đồng</w:t>
      </w:r>
      <w:r>
        <w:rPr>
          <w:rFonts w:ascii="Times New Roman" w:hAnsi="Times New Roman"/>
        </w:rPr>
        <w:t>.</w:t>
      </w:r>
    </w:p>
    <w:p>
      <w:pPr>
        <w:spacing w:after="80"/>
        <w:ind w:left="794" w:hanging="283"/>
      </w:pPr>
      <w:r>
        <w:rPr>
          <w:rFonts w:ascii="Times New Roman" w:hAnsi="Times New Roman"/>
        </w:rPr>
        <w:t>– Các diện tích còn lại đang được hoàn thiện hồ sơ đợt cuối, bảo đảm bàn giao mặt bằng sạch toàn diện theo kế hoạch.</w:t>
      </w:r>
    </w:p>
    <w:p>
      <w:pPr>
        <w:spacing w:before="240" w:after="120"/>
        <w:ind w:firstLine="0"/>
        <w:jc w:val="left"/>
      </w:pPr>
      <w:r>
        <w:rPr>
          <w:rFonts w:ascii="Times New Roman" w:hAnsi="Times New Roman"/>
          <w:b/>
          <w:color w:val="000000"/>
          <w:sz w:val="27"/>
        </w:rPr>
        <w:t>VI. BÀI TOÁN TÀI CHÍNH &amp; HIỆU QUẢ ĐẦU TƯ ĐỘT PHÁ</w:t>
      </w:r>
    </w:p>
    <w:p>
      <w:pPr>
        <w:spacing w:before="160" w:after="120"/>
        <w:ind w:firstLine="0"/>
        <w:jc w:val="left"/>
      </w:pPr>
      <w:r>
        <w:rPr>
          <w:rFonts w:ascii="Times New Roman" w:hAnsi="Times New Roman"/>
          <w:b/>
          <w:color w:val="000000"/>
          <w:sz w:val="26"/>
        </w:rPr>
        <w:t>1. Cơ chế Tiền sử dụng đất ưu đãi (Chỉ từ 6,0 – 8,0 triệu đồng/m²)</w:t>
      </w:r>
    </w:p>
    <w:p>
      <w:pPr>
        <w:spacing w:after="80"/>
        <w:ind w:left="794" w:hanging="283"/>
      </w:pPr>
      <w:r>
        <w:rPr>
          <w:rFonts w:ascii="Times New Roman" w:hAnsi="Times New Roman"/>
        </w:rPr>
        <w:t xml:space="preserve">– Theo </w:t>
      </w:r>
      <w:r>
        <w:rPr>
          <w:rFonts w:ascii="Times New Roman" w:hAnsi="Times New Roman"/>
          <w:b/>
        </w:rPr>
        <w:t>Nghị quyết số 33/2025/NQ-HĐND (Điều 10 khoản 5 và khoản 8)</w:t>
      </w:r>
      <w:r>
        <w:rPr>
          <w:rFonts w:ascii="Times New Roman" w:hAnsi="Times New Roman"/>
        </w:rPr>
        <w:t xml:space="preserve"> và Bảng giá đất TP Hải Phòng kèm theo Nghị quyết số 85/NQ-HĐND:</w:t>
      </w:r>
    </w:p>
    <w:p>
      <w:pPr>
        <w:spacing w:after="120"/>
        <w:ind w:firstLine="567"/>
      </w:pPr>
      <w:r>
        <w:rPr>
          <w:rFonts w:ascii="Times New Roman" w:hAnsi="Times New Roman"/>
        </w:rPr>
        <w:t>+ Toàn bộ 437 lô đất ở của dự án đều là đất tiếp giáp hệ thống đường giao thông nội bộ (lô gần nhất cách tim đường tỉnh 194C là 51m, không có lô nào tiếp giáp mặt đường chính).</w:t>
      </w:r>
    </w:p>
    <w:p>
      <w:pPr>
        <w:spacing w:after="120"/>
        <w:ind w:firstLine="567"/>
      </w:pPr>
      <w:r>
        <w:rPr>
          <w:rFonts w:ascii="Times New Roman" w:hAnsi="Times New Roman"/>
        </w:rPr>
        <w:t xml:space="preserve">+ Khoản 5 Điều 10 quy định rõ: Thửa đất trong dự án bám đường nội bộ được áp giá theo </w:t>
      </w:r>
      <w:r>
        <w:rPr>
          <w:rFonts w:ascii="Times New Roman" w:hAnsi="Times New Roman"/>
          <w:b/>
        </w:rPr>
        <w:t>vị trí 2 của tuyến đường tiếp giáp (Đường 194C khu vực 2 = 6,0 triệu đồng/m²)</w:t>
      </w:r>
      <w:r>
        <w:rPr>
          <w:rFonts w:ascii="Times New Roman" w:hAnsi="Times New Roman"/>
        </w:rPr>
        <w:t>.</w:t>
      </w:r>
    </w:p>
    <w:p>
      <w:pPr>
        <w:spacing w:after="120"/>
        <w:ind w:firstLine="567"/>
      </w:pPr>
      <w:r>
        <w:rPr>
          <w:rFonts w:ascii="Times New Roman" w:hAnsi="Times New Roman"/>
        </w:rPr>
        <w:t xml:space="preserve">+ Tiền lệ áp dụng tại dự án KDC Cẩm Văn cùng địa bàn đã xác nhận mức giá đường nội bộ tương đương </w:t>
      </w:r>
      <w:r>
        <w:rPr>
          <w:rFonts w:ascii="Times New Roman" w:hAnsi="Times New Roman"/>
          <w:b/>
        </w:rPr>
        <w:t>8,67 triệu đồng/m²</w:t>
      </w:r>
      <w:r>
        <w:rPr>
          <w:rFonts w:ascii="Times New Roman" w:hAnsi="Times New Roman"/>
        </w:rPr>
        <w:t>.</w:t>
      </w:r>
    </w:p>
    <w:p>
      <w:pPr>
        <w:spacing w:after="120"/>
        <w:ind w:firstLine="567"/>
      </w:pPr>
      <w:r>
        <w:rPr>
          <w:rFonts w:ascii="Times New Roman" w:hAnsi="Times New Roman"/>
        </w:rPr>
        <w:t xml:space="preserve">+ </w:t>
      </w:r>
      <w:r>
        <w:rPr>
          <w:rFonts w:ascii="Times New Roman" w:hAnsi="Times New Roman"/>
          <w:b/>
        </w:rPr>
        <w:t>Tổng tiền sử dụng đất dự kiến</w:t>
      </w:r>
      <w:r>
        <w:rPr>
          <w:rFonts w:ascii="Times New Roman" w:hAnsi="Times New Roman"/>
        </w:rPr>
        <w:t>:</w:t>
      </w:r>
    </w:p>
    <w:p>
      <w:pPr>
        <w:spacing w:after="80"/>
        <w:ind w:left="794" w:hanging="283"/>
      </w:pPr>
      <w:r>
        <w:rPr>
          <w:rFonts w:ascii="Times New Roman" w:hAnsi="Times New Roman"/>
        </w:rPr>
        <w:t xml:space="preserve">– Theo Phương án 1 (khoản 5 Điều 10: 6,0 tr/m²): </w:t>
      </w:r>
      <w:r>
        <w:rPr>
          <w:rFonts w:ascii="Times New Roman" w:hAnsi="Times New Roman"/>
          <w:b/>
        </w:rPr>
        <w:t>252,3 tỷ đồng</w:t>
      </w:r>
      <w:r>
        <w:rPr>
          <w:rFonts w:ascii="Times New Roman" w:hAnsi="Times New Roman"/>
        </w:rPr>
        <w:t>.</w:t>
      </w:r>
    </w:p>
    <w:p>
      <w:pPr>
        <w:spacing w:after="80"/>
        <w:ind w:left="794" w:hanging="283"/>
      </w:pPr>
      <w:r>
        <w:rPr>
          <w:rFonts w:ascii="Times New Roman" w:hAnsi="Times New Roman"/>
        </w:rPr>
        <w:t xml:space="preserve">– Theo Phương án 2 (giá đất cụ thể bình quân: 8,67 tr/m²): </w:t>
      </w:r>
      <w:r>
        <w:rPr>
          <w:rFonts w:ascii="Times New Roman" w:hAnsi="Times New Roman"/>
          <w:b/>
        </w:rPr>
        <w:t>364,5 tỷ đồng</w:t>
      </w:r>
      <w:r>
        <w:rPr>
          <w:rFonts w:ascii="Times New Roman" w:hAnsi="Times New Roman"/>
        </w:rPr>
        <w:t>.</w:t>
      </w:r>
    </w:p>
    <w:p>
      <w:pPr>
        <w:spacing w:after="120"/>
        <w:ind w:firstLine="567"/>
      </w:pPr>
      <w:r>
        <w:rPr>
          <w:rFonts w:ascii="Times New Roman" w:hAnsi="Times New Roman"/>
        </w:rPr>
        <w:t xml:space="preserve">+ Diện tích tính tiền sử dụng đất chỉ tính trên </w:t>
      </w:r>
      <w:r>
        <w:rPr>
          <w:rFonts w:ascii="Times New Roman" w:hAnsi="Times New Roman"/>
          <w:b/>
        </w:rPr>
        <w:t>43.144,6 m²</w:t>
      </w:r>
      <w:r>
        <w:rPr>
          <w:rFonts w:ascii="Times New Roman" w:hAnsi="Times New Roman"/>
        </w:rPr>
        <w:t xml:space="preserve"> (gồm 41.590,1 m² đất ở và 1.554,5 m² đất TMDV). Toàn bộ 102.969,1 m² đất giao thông, hạ tầng, công viên mặt nước được </w:t>
      </w:r>
      <w:r>
        <w:rPr>
          <w:rFonts w:ascii="Times New Roman" w:hAnsi="Times New Roman"/>
          <w:b/>
        </w:rPr>
        <w:t>miễn nộp tiền sử dụng đất</w:t>
      </w:r>
      <w:r>
        <w:rPr>
          <w:rFonts w:ascii="Times New Roman" w:hAnsi="Times New Roman"/>
        </w:rPr>
        <w:t xml:space="preserve"> theo Điều 4 và Điều 6 Nghị định 103/2024/NĐ-CP.</w:t>
      </w:r>
    </w:p>
    <w:p>
      <w:pPr>
        <w:spacing w:before="160" w:after="120"/>
        <w:ind w:firstLine="0"/>
        <w:jc w:val="left"/>
      </w:pPr>
      <w:r>
        <w:rPr>
          <w:rFonts w:ascii="Times New Roman" w:hAnsi="Times New Roman"/>
          <w:b/>
          <w:color w:val="000000"/>
          <w:sz w:val="26"/>
        </w:rPr>
        <w:t>2. Cơ cấu Chi phí Đầu tư &amp; Giá thành sản phẩm</w:t>
      </w:r>
    </w:p>
    <w:tbl>
      <w:tblPr>
        <w:tblStyle w:val="TableGrid"/>
        <w:tblW w:type="auto" w:w="0"/>
        <w:jc w:val="center"/>
        <w:tblLayout w:type="fixed"/>
        <w:tblLook w:firstColumn="1" w:firstRow="1" w:lastColumn="0" w:lastRow="0" w:noHBand="0" w:noVBand="1" w:val="04A0"/>
      </w:tblPr>
      <w:tblGrid>
        <w:gridCol w:w="2529"/>
        <w:gridCol w:w="2150"/>
        <w:gridCol w:w="1756"/>
        <w:gridCol w:w="2635"/>
      </w:tblGrid>
      <w:tr>
        <w:tc>
          <w:tcPr>
            <w:tcW w:type="dxa" w:w="2529"/>
          </w:tcPr>
          <w:p>
            <w:pPr>
              <w:spacing w:after="40" w:line="264" w:lineRule="auto"/>
              <w:jc w:val="center"/>
            </w:pPr>
            <w:r>
              <w:rPr>
                <w:b/>
              </w:rPr>
            </w:r>
            <w:r>
              <w:rPr>
                <w:rFonts w:ascii="Times New Roman" w:hAnsi="Times New Roman"/>
                <w:b/>
                <w:sz w:val="23"/>
              </w:rPr>
              <w:t>Khoản mục chi phí</w:t>
            </w:r>
          </w:p>
        </w:tc>
        <w:tc>
          <w:tcPr>
            <w:tcW w:type="dxa" w:w="2150"/>
          </w:tcPr>
          <w:p>
            <w:pPr>
              <w:spacing w:after="40" w:line="264" w:lineRule="auto"/>
              <w:jc w:val="center"/>
            </w:pPr>
            <w:r>
              <w:rPr>
                <w:b/>
              </w:rPr>
            </w:r>
            <w:r>
              <w:rPr>
                <w:rFonts w:ascii="Times New Roman" w:hAnsi="Times New Roman"/>
                <w:b/>
                <w:sz w:val="23"/>
              </w:rPr>
              <w:t>Giá trị dự kiến (tỷ đồng)</w:t>
            </w:r>
          </w:p>
        </w:tc>
        <w:tc>
          <w:tcPr>
            <w:tcW w:type="dxa" w:w="1756"/>
          </w:tcPr>
          <w:p>
            <w:pPr>
              <w:spacing w:after="40" w:line="264" w:lineRule="auto"/>
              <w:jc w:val="center"/>
            </w:pPr>
            <w:r>
              <w:rPr>
                <w:b/>
              </w:rPr>
            </w:r>
            <w:r>
              <w:rPr>
                <w:rFonts w:ascii="Times New Roman" w:hAnsi="Times New Roman"/>
                <w:b/>
                <w:sz w:val="23"/>
              </w:rPr>
              <w:t>Tỷ trọng</w:t>
            </w:r>
          </w:p>
        </w:tc>
        <w:tc>
          <w:tcPr>
            <w:tcW w:type="dxa" w:w="2635"/>
          </w:tcPr>
          <w:p>
            <w:pPr>
              <w:spacing w:after="40" w:line="264" w:lineRule="auto"/>
              <w:jc w:val="center"/>
            </w:pPr>
            <w:r>
              <w:rPr>
                <w:b/>
              </w:rPr>
            </w:r>
            <w:r>
              <w:rPr>
                <w:rFonts w:ascii="Times New Roman" w:hAnsi="Times New Roman"/>
                <w:b/>
                <w:sz w:val="23"/>
              </w:rPr>
              <w:t>Ghi chú</w:t>
            </w:r>
          </w:p>
        </w:tc>
      </w:tr>
      <w:tr>
        <w:tc>
          <w:tcPr>
            <w:tcW w:type="dxa" w:w="2529"/>
          </w:tcPr>
          <w:p>
            <w:pPr>
              <w:spacing w:after="40" w:line="264" w:lineRule="auto"/>
              <w:jc w:val="left"/>
            </w:pPr>
            <w:r/>
            <w:r>
              <w:rPr>
                <w:rFonts w:ascii="Times New Roman" w:hAnsi="Times New Roman"/>
                <w:b/>
                <w:sz w:val="23"/>
              </w:rPr>
              <w:t>Nghĩa vụ tài chính đất đai (tạm tính mô hình)</w:t>
            </w:r>
          </w:p>
        </w:tc>
        <w:tc>
          <w:tcPr>
            <w:tcW w:type="dxa" w:w="2150"/>
          </w:tcPr>
          <w:p>
            <w:pPr>
              <w:spacing w:after="40" w:line="264" w:lineRule="auto"/>
              <w:jc w:val="left"/>
            </w:pPr>
            <w:r/>
            <w:r>
              <w:rPr>
                <w:rFonts w:ascii="Times New Roman" w:hAnsi="Times New Roman"/>
                <w:b/>
                <w:sz w:val="23"/>
              </w:rPr>
              <w:t>252,3</w:t>
            </w:r>
          </w:p>
        </w:tc>
        <w:tc>
          <w:tcPr>
            <w:tcW w:type="dxa" w:w="1756"/>
          </w:tcPr>
          <w:p>
            <w:pPr>
              <w:spacing w:after="40" w:line="264" w:lineRule="auto"/>
              <w:jc w:val="center"/>
            </w:pPr>
            <w:r/>
            <w:r>
              <w:rPr>
                <w:rFonts w:ascii="Times New Roman" w:hAnsi="Times New Roman"/>
                <w:sz w:val="23"/>
              </w:rPr>
              <w:t>41,3%</w:t>
            </w:r>
          </w:p>
        </w:tc>
        <w:tc>
          <w:tcPr>
            <w:tcW w:type="dxa" w:w="2635"/>
          </w:tcPr>
          <w:p>
            <w:pPr>
              <w:spacing w:after="40" w:line="264" w:lineRule="auto"/>
              <w:jc w:val="left"/>
            </w:pPr>
            <w:r/>
            <w:r>
              <w:rPr>
                <w:rFonts w:ascii="Times New Roman" w:hAnsi="Times New Roman"/>
                <w:sz w:val="23"/>
              </w:rPr>
              <w:t>Dự kiến theo khung giá đất địa phương (chờ QĐ chính thức)</w:t>
            </w:r>
          </w:p>
        </w:tc>
      </w:tr>
      <w:tr>
        <w:tc>
          <w:tcPr>
            <w:tcW w:type="dxa" w:w="2529"/>
          </w:tcPr>
          <w:p>
            <w:pPr>
              <w:spacing w:after="40" w:line="264" w:lineRule="auto"/>
              <w:jc w:val="left"/>
            </w:pPr>
            <w:r/>
            <w:r>
              <w:rPr>
                <w:rFonts w:ascii="Times New Roman" w:hAnsi="Times New Roman"/>
                <w:b/>
                <w:sz w:val="23"/>
              </w:rPr>
              <w:t>Chi phí bồi thường, hỗ trợ GPMB</w:t>
            </w:r>
          </w:p>
        </w:tc>
        <w:tc>
          <w:tcPr>
            <w:tcW w:type="dxa" w:w="2150"/>
          </w:tcPr>
          <w:p>
            <w:pPr>
              <w:spacing w:after="40" w:line="264" w:lineRule="auto"/>
              <w:jc w:val="left"/>
            </w:pPr>
            <w:r/>
            <w:r>
              <w:rPr>
                <w:rFonts w:ascii="Times New Roman" w:hAnsi="Times New Roman"/>
                <w:b/>
                <w:sz w:val="23"/>
              </w:rPr>
              <w:t>104,0</w:t>
            </w:r>
          </w:p>
        </w:tc>
        <w:tc>
          <w:tcPr>
            <w:tcW w:type="dxa" w:w="1756"/>
          </w:tcPr>
          <w:p>
            <w:pPr>
              <w:spacing w:after="40" w:line="264" w:lineRule="auto"/>
              <w:jc w:val="center"/>
            </w:pPr>
            <w:r/>
            <w:r>
              <w:rPr>
                <w:rFonts w:ascii="Times New Roman" w:hAnsi="Times New Roman"/>
                <w:sz w:val="23"/>
              </w:rPr>
              <w:t>17,0%</w:t>
            </w:r>
          </w:p>
        </w:tc>
        <w:tc>
          <w:tcPr>
            <w:tcW w:type="dxa" w:w="2635"/>
          </w:tcPr>
          <w:p>
            <w:pPr>
              <w:spacing w:after="40" w:line="264" w:lineRule="auto"/>
              <w:jc w:val="left"/>
            </w:pPr>
            <w:r/>
            <w:r>
              <w:rPr>
                <w:rFonts w:ascii="Times New Roman" w:hAnsi="Times New Roman"/>
                <w:sz w:val="23"/>
              </w:rPr>
              <w:t>70,76 tỷ đã duyệt + cam kết</w:t>
            </w:r>
          </w:p>
        </w:tc>
      </w:tr>
      <w:tr>
        <w:tc>
          <w:tcPr>
            <w:tcW w:type="dxa" w:w="2529"/>
          </w:tcPr>
          <w:p>
            <w:pPr>
              <w:spacing w:after="40" w:line="264" w:lineRule="auto"/>
              <w:jc w:val="left"/>
            </w:pPr>
            <w:r/>
            <w:r>
              <w:rPr>
                <w:rFonts w:ascii="Times New Roman" w:hAnsi="Times New Roman"/>
                <w:b/>
                <w:sz w:val="23"/>
              </w:rPr>
              <w:t>Chi phí xây dựng hạ tầng kỹ thuật</w:t>
            </w:r>
          </w:p>
        </w:tc>
        <w:tc>
          <w:tcPr>
            <w:tcW w:type="dxa" w:w="2150"/>
          </w:tcPr>
          <w:p>
            <w:pPr>
              <w:spacing w:after="40" w:line="264" w:lineRule="auto"/>
              <w:jc w:val="left"/>
            </w:pPr>
            <w:r/>
            <w:r>
              <w:rPr>
                <w:rFonts w:ascii="Times New Roman" w:hAnsi="Times New Roman"/>
                <w:b/>
                <w:sz w:val="23"/>
              </w:rPr>
              <w:t>164,8</w:t>
            </w:r>
          </w:p>
        </w:tc>
        <w:tc>
          <w:tcPr>
            <w:tcW w:type="dxa" w:w="1756"/>
          </w:tcPr>
          <w:p>
            <w:pPr>
              <w:spacing w:after="40" w:line="264" w:lineRule="auto"/>
              <w:jc w:val="center"/>
            </w:pPr>
            <w:r/>
            <w:r>
              <w:rPr>
                <w:rFonts w:ascii="Times New Roman" w:hAnsi="Times New Roman"/>
                <w:sz w:val="23"/>
              </w:rPr>
              <w:t>27,0%</w:t>
            </w:r>
          </w:p>
        </w:tc>
        <w:tc>
          <w:tcPr>
            <w:tcW w:type="dxa" w:w="2635"/>
          </w:tcPr>
          <w:p>
            <w:pPr>
              <w:spacing w:after="40" w:line="264" w:lineRule="auto"/>
              <w:jc w:val="left"/>
            </w:pPr>
            <w:r/>
            <w:r>
              <w:rPr>
                <w:rFonts w:ascii="Times New Roman" w:hAnsi="Times New Roman"/>
                <w:sz w:val="23"/>
              </w:rPr>
              <w:t>Suất 1,6 tr/m² hạ tầng hoàn chỉnh</w:t>
            </w:r>
          </w:p>
        </w:tc>
      </w:tr>
      <w:tr>
        <w:tc>
          <w:tcPr>
            <w:tcW w:type="dxa" w:w="2529"/>
          </w:tcPr>
          <w:p>
            <w:pPr>
              <w:spacing w:after="40" w:line="264" w:lineRule="auto"/>
              <w:jc w:val="left"/>
            </w:pPr>
            <w:r/>
            <w:r>
              <w:rPr>
                <w:rFonts w:ascii="Times New Roman" w:hAnsi="Times New Roman"/>
                <w:b/>
                <w:sz w:val="23"/>
              </w:rPr>
              <w:t>Chi phí quản lý dự án, tư vấn, thiết kế</w:t>
            </w:r>
          </w:p>
        </w:tc>
        <w:tc>
          <w:tcPr>
            <w:tcW w:type="dxa" w:w="2150"/>
          </w:tcPr>
          <w:p>
            <w:pPr>
              <w:spacing w:after="40" w:line="264" w:lineRule="auto"/>
              <w:jc w:val="left"/>
            </w:pPr>
            <w:r/>
            <w:r>
              <w:rPr>
                <w:rFonts w:ascii="Times New Roman" w:hAnsi="Times New Roman"/>
                <w:b/>
                <w:sz w:val="23"/>
              </w:rPr>
              <w:t>20,0</w:t>
            </w:r>
          </w:p>
        </w:tc>
        <w:tc>
          <w:tcPr>
            <w:tcW w:type="dxa" w:w="1756"/>
          </w:tcPr>
          <w:p>
            <w:pPr>
              <w:spacing w:after="40" w:line="264" w:lineRule="auto"/>
              <w:jc w:val="center"/>
            </w:pPr>
            <w:r/>
            <w:r>
              <w:rPr>
                <w:rFonts w:ascii="Times New Roman" w:hAnsi="Times New Roman"/>
                <w:sz w:val="23"/>
              </w:rPr>
              <w:t>3,3%</w:t>
            </w:r>
          </w:p>
        </w:tc>
        <w:tc>
          <w:tcPr>
            <w:tcW w:type="dxa" w:w="2635"/>
          </w:tcPr>
          <w:p>
            <w:pPr>
              <w:spacing w:after="40" w:line="264" w:lineRule="auto"/>
              <w:jc w:val="left"/>
            </w:pPr>
            <w:r/>
            <w:r>
              <w:rPr>
                <w:rFonts w:ascii="Times New Roman" w:hAnsi="Times New Roman"/>
                <w:sz w:val="23"/>
              </w:rPr>
              <w:t>Thẩm tra, giám sát, lập hồ sơ</w:t>
            </w:r>
          </w:p>
        </w:tc>
      </w:tr>
      <w:tr>
        <w:tc>
          <w:tcPr>
            <w:tcW w:type="dxa" w:w="2529"/>
          </w:tcPr>
          <w:p>
            <w:pPr>
              <w:spacing w:after="40" w:line="264" w:lineRule="auto"/>
              <w:jc w:val="left"/>
            </w:pPr>
            <w:r/>
            <w:r>
              <w:rPr>
                <w:rFonts w:ascii="Times New Roman" w:hAnsi="Times New Roman"/>
                <w:b/>
                <w:sz w:val="23"/>
              </w:rPr>
              <w:t>Chi phí lãi vay &amp; dự phòng tài chính</w:t>
            </w:r>
          </w:p>
        </w:tc>
        <w:tc>
          <w:tcPr>
            <w:tcW w:type="dxa" w:w="2150"/>
          </w:tcPr>
          <w:p>
            <w:pPr>
              <w:spacing w:after="40" w:line="264" w:lineRule="auto"/>
              <w:jc w:val="left"/>
            </w:pPr>
            <w:r/>
            <w:r>
              <w:rPr>
                <w:rFonts w:ascii="Times New Roman" w:hAnsi="Times New Roman"/>
                <w:b/>
                <w:sz w:val="23"/>
              </w:rPr>
              <w:t>45,0</w:t>
            </w:r>
          </w:p>
        </w:tc>
        <w:tc>
          <w:tcPr>
            <w:tcW w:type="dxa" w:w="1756"/>
          </w:tcPr>
          <w:p>
            <w:pPr>
              <w:spacing w:after="40" w:line="264" w:lineRule="auto"/>
              <w:jc w:val="center"/>
            </w:pPr>
            <w:r/>
            <w:r>
              <w:rPr>
                <w:rFonts w:ascii="Times New Roman" w:hAnsi="Times New Roman"/>
                <w:sz w:val="23"/>
              </w:rPr>
              <w:t>7,4%</w:t>
            </w:r>
          </w:p>
        </w:tc>
        <w:tc>
          <w:tcPr>
            <w:tcW w:type="dxa" w:w="2635"/>
          </w:tcPr>
          <w:p>
            <w:pPr>
              <w:spacing w:after="40" w:line="264" w:lineRule="auto"/>
              <w:jc w:val="left"/>
            </w:pPr>
            <w:r/>
            <w:r>
              <w:rPr>
                <w:rFonts w:ascii="Times New Roman" w:hAnsi="Times New Roman"/>
                <w:sz w:val="23"/>
              </w:rPr>
              <w:t>Dự phòng lãi suất 10%/năm</w:t>
            </w:r>
          </w:p>
        </w:tc>
      </w:tr>
      <w:tr>
        <w:tc>
          <w:tcPr>
            <w:tcW w:type="dxa" w:w="2529"/>
          </w:tcPr>
          <w:p>
            <w:pPr>
              <w:spacing w:after="40" w:line="264" w:lineRule="auto"/>
              <w:jc w:val="left"/>
            </w:pPr>
            <w:r/>
            <w:r>
              <w:rPr>
                <w:rFonts w:ascii="Times New Roman" w:hAnsi="Times New Roman"/>
                <w:b/>
                <w:sz w:val="23"/>
              </w:rPr>
              <w:t>Chi phí bán hàng, thuế phí khác (3%)</w:t>
            </w:r>
          </w:p>
        </w:tc>
        <w:tc>
          <w:tcPr>
            <w:tcW w:type="dxa" w:w="2150"/>
          </w:tcPr>
          <w:p>
            <w:pPr>
              <w:spacing w:after="40" w:line="264" w:lineRule="auto"/>
              <w:jc w:val="left"/>
            </w:pPr>
            <w:r/>
            <w:r>
              <w:rPr>
                <w:rFonts w:ascii="Times New Roman" w:hAnsi="Times New Roman"/>
                <w:b/>
                <w:sz w:val="23"/>
              </w:rPr>
              <w:t>25,2</w:t>
            </w:r>
          </w:p>
        </w:tc>
        <w:tc>
          <w:tcPr>
            <w:tcW w:type="dxa" w:w="1756"/>
          </w:tcPr>
          <w:p>
            <w:pPr>
              <w:spacing w:after="40" w:line="264" w:lineRule="auto"/>
              <w:jc w:val="center"/>
            </w:pPr>
            <w:r/>
            <w:r>
              <w:rPr>
                <w:rFonts w:ascii="Times New Roman" w:hAnsi="Times New Roman"/>
                <w:sz w:val="23"/>
              </w:rPr>
              <w:t>4,0%</w:t>
            </w:r>
          </w:p>
        </w:tc>
        <w:tc>
          <w:tcPr>
            <w:tcW w:type="dxa" w:w="2635"/>
          </w:tcPr>
          <w:p>
            <w:pPr>
              <w:spacing w:after="40" w:line="264" w:lineRule="auto"/>
              <w:jc w:val="left"/>
            </w:pPr>
            <w:r/>
            <w:r>
              <w:rPr>
                <w:rFonts w:ascii="Times New Roman" w:hAnsi="Times New Roman"/>
                <w:sz w:val="23"/>
              </w:rPr>
              <w:t>3% tổng doanh thu dự kiến</w:t>
            </w:r>
          </w:p>
        </w:tc>
      </w:tr>
      <w:tr>
        <w:tc>
          <w:tcPr>
            <w:tcW w:type="dxa" w:w="2529"/>
          </w:tcPr>
          <w:p>
            <w:pPr>
              <w:spacing w:after="40" w:line="264" w:lineRule="auto"/>
              <w:jc w:val="left"/>
            </w:pPr>
            <w:r/>
            <w:r>
              <w:rPr>
                <w:rFonts w:ascii="Times New Roman" w:hAnsi="Times New Roman"/>
                <w:b/>
                <w:sz w:val="23"/>
              </w:rPr>
              <w:t>TỔNG MỨC ĐẦU TƯ CƠ SỞ</w:t>
            </w:r>
          </w:p>
        </w:tc>
        <w:tc>
          <w:tcPr>
            <w:tcW w:type="dxa" w:w="2150"/>
          </w:tcPr>
          <w:p>
            <w:pPr>
              <w:spacing w:after="40" w:line="264" w:lineRule="auto"/>
              <w:jc w:val="left"/>
            </w:pPr>
            <w:r/>
            <w:r>
              <w:rPr>
                <w:rFonts w:ascii="Times New Roman" w:hAnsi="Times New Roman"/>
                <w:b/>
                <w:sz w:val="23"/>
              </w:rPr>
              <w:t>611,3</w:t>
            </w:r>
          </w:p>
        </w:tc>
        <w:tc>
          <w:tcPr>
            <w:tcW w:type="dxa" w:w="1756"/>
          </w:tcPr>
          <w:p>
            <w:pPr>
              <w:spacing w:after="40" w:line="264" w:lineRule="auto"/>
              <w:jc w:val="left"/>
            </w:pPr>
            <w:r/>
            <w:r>
              <w:rPr>
                <w:rFonts w:ascii="Times New Roman" w:hAnsi="Times New Roman"/>
                <w:b/>
                <w:sz w:val="23"/>
              </w:rPr>
              <w:t>100%</w:t>
            </w:r>
          </w:p>
        </w:tc>
        <w:tc>
          <w:tcPr>
            <w:tcW w:type="dxa" w:w="2635"/>
          </w:tcPr>
          <w:p>
            <w:pPr>
              <w:spacing w:after="40" w:line="264" w:lineRule="auto"/>
              <w:jc w:val="center"/>
            </w:pPr>
            <w:r/>
          </w:p>
        </w:tc>
      </w:tr>
    </w:tbl>
    <w:p>
      <w:pPr>
        <w:spacing w:after="40"/>
      </w:pPr>
    </w:p>
    <w:p>
      <w:pPr>
        <w:spacing w:after="120"/>
        <w:ind w:firstLine="0" w:left="454"/>
        <w:jc w:val="both"/>
      </w:pPr>
      <w:r>
        <w:rPr>
          <w:rFonts w:ascii="Times New Roman" w:hAnsi="Times New Roman"/>
          <w:b/>
          <w:i/>
          <w:sz w:val="25"/>
        </w:rPr>
        <w:t>Giá thành đất nền sản phẩm</w:t>
      </w:r>
      <w:r>
        <w:rPr>
          <w:rFonts w:ascii="Times New Roman" w:hAnsi="Times New Roman"/>
          <w:i/>
          <w:sz w:val="25"/>
        </w:rPr>
        <w:t>:</w:t>
      </w:r>
    </w:p>
    <w:p>
      <w:pPr>
        <w:spacing w:after="120"/>
        <w:ind w:firstLine="0" w:left="454"/>
        <w:jc w:val="both"/>
      </w:pPr>
      <w:r>
        <w:rPr>
          <w:rFonts w:ascii="Times New Roman" w:hAnsi="Times New Roman"/>
          <w:i/>
          <w:sz w:val="25"/>
        </w:rPr>
        <w:t xml:space="preserve">- Giá thành đất thô (Tiền SDĐ + GPMB): </w:t>
      </w:r>
      <w:r>
        <w:rPr>
          <w:rFonts w:ascii="Times New Roman" w:hAnsi="Times New Roman"/>
          <w:b/>
          <w:i/>
          <w:sz w:val="25"/>
        </w:rPr>
        <w:t>8,57 triệu đồng/m²</w:t>
      </w:r>
      <w:r>
        <w:rPr>
          <w:rFonts w:ascii="Times New Roman" w:hAnsi="Times New Roman"/>
          <w:i/>
          <w:sz w:val="25"/>
        </w:rPr>
        <w:t>.</w:t>
      </w:r>
    </w:p>
    <w:p>
      <w:pPr>
        <w:spacing w:after="120"/>
        <w:ind w:firstLine="0" w:left="454"/>
        <w:jc w:val="both"/>
      </w:pPr>
      <w:r>
        <w:rPr>
          <w:rFonts w:ascii="Times New Roman" w:hAnsi="Times New Roman"/>
          <w:i/>
          <w:sz w:val="25"/>
        </w:rPr>
        <w:t xml:space="preserve">- Giá thành đất thành phẩm full hạ tầng và chi phí: </w:t>
      </w:r>
      <w:r>
        <w:rPr>
          <w:rFonts w:ascii="Times New Roman" w:hAnsi="Times New Roman"/>
          <w:b/>
          <w:i/>
          <w:sz w:val="25"/>
        </w:rPr>
        <w:t>13,33 triệu đồng/m²</w:t>
      </w:r>
      <w:r>
        <w:rPr>
          <w:rFonts w:ascii="Times New Roman" w:hAnsi="Times New Roman"/>
          <w:i/>
          <w:sz w:val="25"/>
        </w:rPr>
        <w:t>.</w:t>
      </w:r>
    </w:p>
    <w:p>
      <w:pPr>
        <w:spacing w:before="160" w:after="120"/>
        <w:ind w:firstLine="0"/>
        <w:jc w:val="left"/>
      </w:pPr>
      <w:r>
        <w:rPr>
          <w:rFonts w:ascii="Times New Roman" w:hAnsi="Times New Roman"/>
          <w:b/>
          <w:color w:val="000000"/>
          <w:sz w:val="26"/>
        </w:rPr>
        <w:t>3. Ma trận Doanh thu &amp; Hiệu quả kinh doanh</w:t>
      </w:r>
    </w:p>
    <w:p>
      <w:pPr>
        <w:spacing w:after="120"/>
        <w:ind w:firstLine="0"/>
      </w:pPr>
      <w:r>
        <w:rPr>
          <w:rFonts w:ascii="Times New Roman" w:hAnsi="Times New Roman"/>
          <w:i/>
          <w:sz w:val="24"/>
        </w:rPr>
        <w:t>Đơn vị: Tỷ đồng. Tính trên 41.590,1 m² đất ở thương phẩm (437 lô) và 1.554,5 m² đất TMDV.</w:t>
      </w:r>
    </w:p>
    <w:tbl>
      <w:tblPr>
        <w:tblStyle w:val="TableGrid"/>
        <w:tblW w:type="auto" w:w="0"/>
        <w:jc w:val="center"/>
        <w:tblLayout w:type="fixed"/>
        <w:tblLook w:firstColumn="1" w:firstRow="1" w:lastColumn="0" w:lastRow="0" w:noHBand="0" w:noVBand="1" w:val="04A0"/>
      </w:tblPr>
      <w:tblGrid>
        <w:gridCol w:w="1513"/>
        <w:gridCol w:w="1471"/>
        <w:gridCol w:w="1523"/>
        <w:gridCol w:w="1530"/>
        <w:gridCol w:w="1506"/>
        <w:gridCol w:w="1527"/>
      </w:tblGrid>
      <w:tr>
        <w:tc>
          <w:tcPr>
            <w:tcW w:type="dxa" w:w="1513"/>
          </w:tcPr>
          <w:p>
            <w:pPr>
              <w:spacing w:after="40" w:line="264" w:lineRule="auto"/>
              <w:jc w:val="center"/>
            </w:pPr>
            <w:r>
              <w:rPr>
                <w:b/>
              </w:rPr>
            </w:r>
            <w:r>
              <w:rPr>
                <w:rFonts w:ascii="Times New Roman" w:hAnsi="Times New Roman"/>
                <w:b/>
                <w:sz w:val="23"/>
              </w:rPr>
              <w:t>Mức giá bán đất ở (triệu/m²)</w:t>
            </w:r>
          </w:p>
        </w:tc>
        <w:tc>
          <w:tcPr>
            <w:tcW w:type="dxa" w:w="1471"/>
          </w:tcPr>
          <w:p>
            <w:pPr>
              <w:spacing w:after="40" w:line="264" w:lineRule="auto"/>
              <w:jc w:val="center"/>
            </w:pPr>
            <w:r>
              <w:rPr>
                <w:b/>
              </w:rPr>
            </w:r>
            <w:r>
              <w:rPr>
                <w:rFonts w:ascii="Times New Roman" w:hAnsi="Times New Roman"/>
                <w:b/>
                <w:sz w:val="23"/>
              </w:rPr>
              <w:t>Tổng doanh thu dự kiến</w:t>
            </w:r>
          </w:p>
        </w:tc>
        <w:tc>
          <w:tcPr>
            <w:tcW w:type="dxa" w:w="1523"/>
          </w:tcPr>
          <w:p>
            <w:pPr>
              <w:spacing w:after="40" w:line="264" w:lineRule="auto"/>
              <w:jc w:val="center"/>
            </w:pPr>
            <w:r>
              <w:rPr>
                <w:b/>
              </w:rPr>
            </w:r>
            <w:r>
              <w:rPr>
                <w:rFonts w:ascii="Times New Roman" w:hAnsi="Times New Roman"/>
                <w:b/>
                <w:sz w:val="23"/>
              </w:rPr>
              <w:t>Lợi nhuận trước thuế (PA 1: 6 tr/m²)</w:t>
            </w:r>
          </w:p>
        </w:tc>
        <w:tc>
          <w:tcPr>
            <w:tcW w:type="dxa" w:w="1530"/>
          </w:tcPr>
          <w:p>
            <w:pPr>
              <w:spacing w:after="40" w:line="264" w:lineRule="auto"/>
              <w:jc w:val="center"/>
            </w:pPr>
            <w:r>
              <w:rPr>
                <w:b/>
              </w:rPr>
            </w:r>
            <w:r>
              <w:rPr>
                <w:rFonts w:ascii="Times New Roman" w:hAnsi="Times New Roman"/>
                <w:b/>
                <w:sz w:val="23"/>
              </w:rPr>
              <w:t>LỢI NHUẬN SAU THUẾ (PA 1: 6 tr/m²)</w:t>
            </w:r>
          </w:p>
        </w:tc>
        <w:tc>
          <w:tcPr>
            <w:tcW w:type="dxa" w:w="1506"/>
          </w:tcPr>
          <w:p>
            <w:pPr>
              <w:spacing w:after="40" w:line="264" w:lineRule="auto"/>
              <w:jc w:val="center"/>
            </w:pPr>
            <w:r>
              <w:rPr>
                <w:b/>
              </w:rPr>
            </w:r>
            <w:r>
              <w:rPr>
                <w:rFonts w:ascii="Times New Roman" w:hAnsi="Times New Roman"/>
                <w:b/>
                <w:sz w:val="23"/>
              </w:rPr>
              <w:t>Tỷ suất LN/VCSH (ROE: 146,5 tỷ)</w:t>
            </w:r>
          </w:p>
        </w:tc>
        <w:tc>
          <w:tcPr>
            <w:tcW w:type="dxa" w:w="1527"/>
          </w:tcPr>
          <w:p>
            <w:pPr>
              <w:spacing w:after="40" w:line="264" w:lineRule="auto"/>
              <w:jc w:val="center"/>
            </w:pPr>
            <w:r>
              <w:rPr>
                <w:b/>
              </w:rPr>
            </w:r>
            <w:r>
              <w:rPr>
                <w:rFonts w:ascii="Times New Roman" w:hAnsi="Times New Roman"/>
                <w:b/>
                <w:sz w:val="23"/>
              </w:rPr>
              <w:t>Lợi nhuận sau thuế (PA 2: 8,67 tr/m²)</w:t>
            </w:r>
          </w:p>
        </w:tc>
      </w:tr>
      <w:tr>
        <w:tc>
          <w:tcPr>
            <w:tcW w:type="dxa" w:w="1513"/>
          </w:tcPr>
          <w:p>
            <w:pPr>
              <w:spacing w:after="40" w:line="264" w:lineRule="auto"/>
              <w:jc w:val="left"/>
            </w:pPr>
            <w:r/>
            <w:r>
              <w:rPr>
                <w:rFonts w:ascii="Times New Roman" w:hAnsi="Times New Roman"/>
                <w:b/>
                <w:sz w:val="23"/>
              </w:rPr>
              <w:t>20 tr/m²</w:t>
            </w:r>
            <w:r>
              <w:rPr>
                <w:rFonts w:ascii="Times New Roman" w:hAnsi="Times New Roman"/>
                <w:sz w:val="23"/>
              </w:rPr>
              <w:t xml:space="preserve"> </w:t>
            </w:r>
            <w:r>
              <w:rPr>
                <w:rFonts w:ascii="Times New Roman" w:hAnsi="Times New Roman"/>
                <w:i/>
                <w:sz w:val="23"/>
              </w:rPr>
              <w:t>(Sàn – Thận trọng)</w:t>
            </w:r>
          </w:p>
        </w:tc>
        <w:tc>
          <w:tcPr>
            <w:tcW w:type="dxa" w:w="1471"/>
          </w:tcPr>
          <w:p>
            <w:pPr>
              <w:spacing w:after="40" w:line="264" w:lineRule="auto"/>
              <w:jc w:val="center"/>
            </w:pPr>
            <w:r/>
            <w:r>
              <w:rPr>
                <w:rFonts w:ascii="Times New Roman" w:hAnsi="Times New Roman"/>
                <w:sz w:val="23"/>
              </w:rPr>
              <w:t>841,1</w:t>
            </w:r>
          </w:p>
        </w:tc>
        <w:tc>
          <w:tcPr>
            <w:tcW w:type="dxa" w:w="1523"/>
          </w:tcPr>
          <w:p>
            <w:pPr>
              <w:spacing w:after="40" w:line="264" w:lineRule="auto"/>
              <w:jc w:val="center"/>
            </w:pPr>
            <w:r/>
            <w:r>
              <w:rPr>
                <w:rFonts w:ascii="Times New Roman" w:hAnsi="Times New Roman"/>
                <w:sz w:val="23"/>
              </w:rPr>
              <w:t>229,8</w:t>
            </w:r>
          </w:p>
        </w:tc>
        <w:tc>
          <w:tcPr>
            <w:tcW w:type="dxa" w:w="1530"/>
          </w:tcPr>
          <w:p>
            <w:pPr>
              <w:spacing w:after="40" w:line="264" w:lineRule="auto"/>
              <w:jc w:val="left"/>
            </w:pPr>
            <w:r/>
            <w:r>
              <w:rPr>
                <w:rFonts w:ascii="Times New Roman" w:hAnsi="Times New Roman"/>
                <w:b/>
                <w:sz w:val="23"/>
              </w:rPr>
              <w:t>183,8 tỷ</w:t>
            </w:r>
          </w:p>
        </w:tc>
        <w:tc>
          <w:tcPr>
            <w:tcW w:type="dxa" w:w="1506"/>
          </w:tcPr>
          <w:p>
            <w:pPr>
              <w:spacing w:after="40" w:line="264" w:lineRule="auto"/>
              <w:jc w:val="left"/>
            </w:pPr>
            <w:r/>
            <w:r>
              <w:rPr>
                <w:rFonts w:ascii="Times New Roman" w:hAnsi="Times New Roman"/>
                <w:b/>
                <w:sz w:val="23"/>
              </w:rPr>
              <w:t>125,5%</w:t>
            </w:r>
          </w:p>
        </w:tc>
        <w:tc>
          <w:tcPr>
            <w:tcW w:type="dxa" w:w="1527"/>
          </w:tcPr>
          <w:p>
            <w:pPr>
              <w:spacing w:after="40" w:line="264" w:lineRule="auto"/>
              <w:jc w:val="left"/>
            </w:pPr>
            <w:r/>
            <w:r>
              <w:rPr>
                <w:rFonts w:ascii="Times New Roman" w:hAnsi="Times New Roman"/>
                <w:sz w:val="23"/>
              </w:rPr>
              <w:t>94,1 tỷ</w:t>
            </w:r>
          </w:p>
        </w:tc>
      </w:tr>
      <w:tr>
        <w:tc>
          <w:tcPr>
            <w:tcW w:type="dxa" w:w="1513"/>
          </w:tcPr>
          <w:p>
            <w:pPr>
              <w:spacing w:after="40" w:line="264" w:lineRule="auto"/>
              <w:jc w:val="left"/>
            </w:pPr>
            <w:r/>
            <w:r>
              <w:rPr>
                <w:rFonts w:ascii="Times New Roman" w:hAnsi="Times New Roman"/>
                <w:b/>
                <w:sz w:val="23"/>
              </w:rPr>
              <w:t>25 tr/m²</w:t>
            </w:r>
            <w:r>
              <w:rPr>
                <w:rFonts w:ascii="Times New Roman" w:hAnsi="Times New Roman"/>
                <w:sz w:val="23"/>
              </w:rPr>
              <w:t xml:space="preserve"> </w:t>
            </w:r>
            <w:r>
              <w:rPr>
                <w:rFonts w:ascii="Times New Roman" w:hAnsi="Times New Roman"/>
                <w:i/>
                <w:sz w:val="23"/>
              </w:rPr>
              <w:t>(Thận trọng)</w:t>
            </w:r>
          </w:p>
        </w:tc>
        <w:tc>
          <w:tcPr>
            <w:tcW w:type="dxa" w:w="1471"/>
          </w:tcPr>
          <w:p>
            <w:pPr>
              <w:spacing w:after="40" w:line="264" w:lineRule="auto"/>
              <w:jc w:val="center"/>
            </w:pPr>
            <w:r/>
            <w:r>
              <w:rPr>
                <w:rFonts w:ascii="Times New Roman" w:hAnsi="Times New Roman"/>
                <w:sz w:val="23"/>
              </w:rPr>
              <w:t>1.051,4</w:t>
            </w:r>
          </w:p>
        </w:tc>
        <w:tc>
          <w:tcPr>
            <w:tcW w:type="dxa" w:w="1523"/>
          </w:tcPr>
          <w:p>
            <w:pPr>
              <w:spacing w:after="40" w:line="264" w:lineRule="auto"/>
              <w:jc w:val="center"/>
            </w:pPr>
            <w:r/>
            <w:r>
              <w:rPr>
                <w:rFonts w:ascii="Times New Roman" w:hAnsi="Times New Roman"/>
                <w:sz w:val="23"/>
              </w:rPr>
              <w:t>433,8</w:t>
            </w:r>
          </w:p>
        </w:tc>
        <w:tc>
          <w:tcPr>
            <w:tcW w:type="dxa" w:w="1530"/>
          </w:tcPr>
          <w:p>
            <w:pPr>
              <w:spacing w:after="40" w:line="264" w:lineRule="auto"/>
              <w:jc w:val="left"/>
            </w:pPr>
            <w:r/>
            <w:r>
              <w:rPr>
                <w:rFonts w:ascii="Times New Roman" w:hAnsi="Times New Roman"/>
                <w:b/>
                <w:sz w:val="23"/>
              </w:rPr>
              <w:t>347,0 tỷ</w:t>
            </w:r>
          </w:p>
        </w:tc>
        <w:tc>
          <w:tcPr>
            <w:tcW w:type="dxa" w:w="1506"/>
          </w:tcPr>
          <w:p>
            <w:pPr>
              <w:spacing w:after="40" w:line="264" w:lineRule="auto"/>
              <w:jc w:val="left"/>
            </w:pPr>
            <w:r/>
            <w:r>
              <w:rPr>
                <w:rFonts w:ascii="Times New Roman" w:hAnsi="Times New Roman"/>
                <w:b/>
                <w:sz w:val="23"/>
              </w:rPr>
              <w:t>236,9%</w:t>
            </w:r>
          </w:p>
        </w:tc>
        <w:tc>
          <w:tcPr>
            <w:tcW w:type="dxa" w:w="1527"/>
          </w:tcPr>
          <w:p>
            <w:pPr>
              <w:spacing w:after="40" w:line="264" w:lineRule="auto"/>
              <w:jc w:val="left"/>
            </w:pPr>
            <w:r/>
            <w:r>
              <w:rPr>
                <w:rFonts w:ascii="Times New Roman" w:hAnsi="Times New Roman"/>
                <w:sz w:val="23"/>
              </w:rPr>
              <w:t>257,3 tỷ</w:t>
            </w:r>
          </w:p>
        </w:tc>
      </w:tr>
      <w:tr>
        <w:tc>
          <w:tcPr>
            <w:tcW w:type="dxa" w:w="1513"/>
          </w:tcPr>
          <w:p>
            <w:pPr>
              <w:spacing w:after="40" w:line="264" w:lineRule="auto"/>
              <w:jc w:val="left"/>
            </w:pPr>
            <w:r/>
            <w:r>
              <w:rPr>
                <w:rFonts w:ascii="Times New Roman" w:hAnsi="Times New Roman"/>
                <w:b/>
                <w:sz w:val="23"/>
              </w:rPr>
              <w:t>30 tr/m²</w:t>
            </w:r>
          </w:p>
        </w:tc>
        <w:tc>
          <w:tcPr>
            <w:tcW w:type="dxa" w:w="1471"/>
          </w:tcPr>
          <w:p>
            <w:pPr>
              <w:spacing w:after="40" w:line="264" w:lineRule="auto"/>
              <w:jc w:val="center"/>
            </w:pPr>
            <w:r/>
            <w:r>
              <w:rPr>
                <w:rFonts w:ascii="Times New Roman" w:hAnsi="Times New Roman"/>
                <w:sz w:val="23"/>
              </w:rPr>
              <w:t>1.261,7</w:t>
            </w:r>
          </w:p>
        </w:tc>
        <w:tc>
          <w:tcPr>
            <w:tcW w:type="dxa" w:w="1523"/>
          </w:tcPr>
          <w:p>
            <w:pPr>
              <w:spacing w:after="40" w:line="264" w:lineRule="auto"/>
              <w:jc w:val="center"/>
            </w:pPr>
            <w:r/>
            <w:r>
              <w:rPr>
                <w:rFonts w:ascii="Times New Roman" w:hAnsi="Times New Roman"/>
                <w:sz w:val="23"/>
              </w:rPr>
              <w:t>637,7</w:t>
            </w:r>
          </w:p>
        </w:tc>
        <w:tc>
          <w:tcPr>
            <w:tcW w:type="dxa" w:w="1530"/>
          </w:tcPr>
          <w:p>
            <w:pPr>
              <w:spacing w:after="40" w:line="264" w:lineRule="auto"/>
              <w:jc w:val="left"/>
            </w:pPr>
            <w:r/>
            <w:r>
              <w:rPr>
                <w:rFonts w:ascii="Times New Roman" w:hAnsi="Times New Roman"/>
                <w:b/>
                <w:sz w:val="23"/>
              </w:rPr>
              <w:t>510,2 tỷ</w:t>
            </w:r>
          </w:p>
        </w:tc>
        <w:tc>
          <w:tcPr>
            <w:tcW w:type="dxa" w:w="1506"/>
          </w:tcPr>
          <w:p>
            <w:pPr>
              <w:spacing w:after="40" w:line="264" w:lineRule="auto"/>
              <w:jc w:val="left"/>
            </w:pPr>
            <w:r/>
            <w:r>
              <w:rPr>
                <w:rFonts w:ascii="Times New Roman" w:hAnsi="Times New Roman"/>
                <w:b/>
                <w:sz w:val="23"/>
              </w:rPr>
              <w:t>348,3%</w:t>
            </w:r>
          </w:p>
        </w:tc>
        <w:tc>
          <w:tcPr>
            <w:tcW w:type="dxa" w:w="1527"/>
          </w:tcPr>
          <w:p>
            <w:pPr>
              <w:spacing w:after="40" w:line="264" w:lineRule="auto"/>
              <w:jc w:val="left"/>
            </w:pPr>
            <w:r/>
            <w:r>
              <w:rPr>
                <w:rFonts w:ascii="Times New Roman" w:hAnsi="Times New Roman"/>
                <w:sz w:val="23"/>
              </w:rPr>
              <w:t>420,4 tỷ</w:t>
            </w:r>
          </w:p>
        </w:tc>
      </w:tr>
      <w:tr>
        <w:tc>
          <w:tcPr>
            <w:tcW w:type="dxa" w:w="1513"/>
          </w:tcPr>
          <w:p>
            <w:pPr>
              <w:spacing w:after="40" w:line="264" w:lineRule="auto"/>
              <w:jc w:val="left"/>
            </w:pPr>
            <w:r/>
            <w:r>
              <w:rPr>
                <w:rFonts w:ascii="Times New Roman" w:hAnsi="Times New Roman"/>
                <w:b/>
                <w:sz w:val="23"/>
              </w:rPr>
              <w:t>35 tr/m²</w:t>
            </w:r>
            <w:r>
              <w:rPr>
                <w:rFonts w:ascii="Times New Roman" w:hAnsi="Times New Roman"/>
                <w:sz w:val="23"/>
              </w:rPr>
              <w:t xml:space="preserve"> </w:t>
            </w:r>
            <w:r>
              <w:rPr>
                <w:rFonts w:ascii="Times New Roman" w:hAnsi="Times New Roman"/>
                <w:i/>
                <w:sz w:val="23"/>
              </w:rPr>
              <w:t>(Kịch bản Cơ sở)</w:t>
            </w:r>
          </w:p>
        </w:tc>
        <w:tc>
          <w:tcPr>
            <w:tcW w:type="dxa" w:w="1471"/>
          </w:tcPr>
          <w:p>
            <w:pPr>
              <w:spacing w:after="40" w:line="264" w:lineRule="auto"/>
              <w:jc w:val="left"/>
            </w:pPr>
            <w:r/>
            <w:r>
              <w:rPr>
                <w:rFonts w:ascii="Times New Roman" w:hAnsi="Times New Roman"/>
                <w:b/>
                <w:sz w:val="23"/>
              </w:rPr>
              <w:t>1.472,0</w:t>
            </w:r>
          </w:p>
        </w:tc>
        <w:tc>
          <w:tcPr>
            <w:tcW w:type="dxa" w:w="1523"/>
          </w:tcPr>
          <w:p>
            <w:pPr>
              <w:spacing w:after="40" w:line="264" w:lineRule="auto"/>
              <w:jc w:val="left"/>
            </w:pPr>
            <w:r/>
            <w:r>
              <w:rPr>
                <w:rFonts w:ascii="Times New Roman" w:hAnsi="Times New Roman"/>
                <w:b/>
                <w:sz w:val="23"/>
              </w:rPr>
              <w:t>841,7</w:t>
            </w:r>
          </w:p>
        </w:tc>
        <w:tc>
          <w:tcPr>
            <w:tcW w:type="dxa" w:w="1530"/>
          </w:tcPr>
          <w:p>
            <w:pPr>
              <w:spacing w:after="40" w:line="264" w:lineRule="auto"/>
              <w:jc w:val="left"/>
            </w:pPr>
            <w:r/>
            <w:r>
              <w:rPr>
                <w:rFonts w:ascii="Times New Roman" w:hAnsi="Times New Roman"/>
                <w:b/>
                <w:sz w:val="23"/>
              </w:rPr>
              <w:t>673,4 tỷ</w:t>
            </w:r>
          </w:p>
        </w:tc>
        <w:tc>
          <w:tcPr>
            <w:tcW w:type="dxa" w:w="1506"/>
          </w:tcPr>
          <w:p>
            <w:pPr>
              <w:spacing w:after="40" w:line="264" w:lineRule="auto"/>
              <w:jc w:val="left"/>
            </w:pPr>
            <w:r/>
            <w:r>
              <w:rPr>
                <w:rFonts w:ascii="Times New Roman" w:hAnsi="Times New Roman"/>
                <w:b/>
                <w:sz w:val="23"/>
              </w:rPr>
              <w:t>459,6%</w:t>
            </w:r>
          </w:p>
        </w:tc>
        <w:tc>
          <w:tcPr>
            <w:tcW w:type="dxa" w:w="1527"/>
          </w:tcPr>
          <w:p>
            <w:pPr>
              <w:spacing w:after="40" w:line="264" w:lineRule="auto"/>
              <w:jc w:val="left"/>
            </w:pPr>
            <w:r/>
            <w:r>
              <w:rPr>
                <w:rFonts w:ascii="Times New Roman" w:hAnsi="Times New Roman"/>
                <w:b/>
                <w:sz w:val="23"/>
              </w:rPr>
              <w:t>583,6 tỷ</w:t>
            </w:r>
          </w:p>
        </w:tc>
      </w:tr>
      <w:tr>
        <w:tc>
          <w:tcPr>
            <w:tcW w:type="dxa" w:w="1513"/>
          </w:tcPr>
          <w:p>
            <w:pPr>
              <w:spacing w:after="40" w:line="264" w:lineRule="auto"/>
              <w:jc w:val="left"/>
            </w:pPr>
            <w:r/>
            <w:r>
              <w:rPr>
                <w:rFonts w:ascii="Times New Roman" w:hAnsi="Times New Roman"/>
                <w:b/>
                <w:sz w:val="23"/>
              </w:rPr>
              <w:t>40 tr/m²</w:t>
            </w:r>
            <w:r>
              <w:rPr>
                <w:rFonts w:ascii="Times New Roman" w:hAnsi="Times New Roman"/>
                <w:sz w:val="23"/>
              </w:rPr>
              <w:t xml:space="preserve"> </w:t>
            </w:r>
            <w:r>
              <w:rPr>
                <w:rFonts w:ascii="Times New Roman" w:hAnsi="Times New Roman"/>
                <w:i/>
                <w:sz w:val="23"/>
              </w:rPr>
              <w:t>(Khả quan)</w:t>
            </w:r>
          </w:p>
        </w:tc>
        <w:tc>
          <w:tcPr>
            <w:tcW w:type="dxa" w:w="1471"/>
          </w:tcPr>
          <w:p>
            <w:pPr>
              <w:spacing w:after="40" w:line="264" w:lineRule="auto"/>
              <w:jc w:val="center"/>
            </w:pPr>
            <w:r/>
            <w:r>
              <w:rPr>
                <w:rFonts w:ascii="Times New Roman" w:hAnsi="Times New Roman"/>
                <w:sz w:val="23"/>
              </w:rPr>
              <w:t>1.682,3</w:t>
            </w:r>
          </w:p>
        </w:tc>
        <w:tc>
          <w:tcPr>
            <w:tcW w:type="dxa" w:w="1523"/>
          </w:tcPr>
          <w:p>
            <w:pPr>
              <w:spacing w:after="40" w:line="264" w:lineRule="auto"/>
              <w:jc w:val="center"/>
            </w:pPr>
            <w:r/>
            <w:r>
              <w:rPr>
                <w:rFonts w:ascii="Times New Roman" w:hAnsi="Times New Roman"/>
                <w:sz w:val="23"/>
              </w:rPr>
              <w:t>1.045,7</w:t>
            </w:r>
          </w:p>
        </w:tc>
        <w:tc>
          <w:tcPr>
            <w:tcW w:type="dxa" w:w="1530"/>
          </w:tcPr>
          <w:p>
            <w:pPr>
              <w:spacing w:after="40" w:line="264" w:lineRule="auto"/>
              <w:jc w:val="left"/>
            </w:pPr>
            <w:r/>
            <w:r>
              <w:rPr>
                <w:rFonts w:ascii="Times New Roman" w:hAnsi="Times New Roman"/>
                <w:b/>
                <w:sz w:val="23"/>
              </w:rPr>
              <w:t>836,6 tỷ</w:t>
            </w:r>
          </w:p>
        </w:tc>
        <w:tc>
          <w:tcPr>
            <w:tcW w:type="dxa" w:w="1506"/>
          </w:tcPr>
          <w:p>
            <w:pPr>
              <w:spacing w:after="40" w:line="264" w:lineRule="auto"/>
              <w:jc w:val="left"/>
            </w:pPr>
            <w:r/>
            <w:r>
              <w:rPr>
                <w:rFonts w:ascii="Times New Roman" w:hAnsi="Times New Roman"/>
                <w:b/>
                <w:sz w:val="23"/>
              </w:rPr>
              <w:t>571,0%</w:t>
            </w:r>
          </w:p>
        </w:tc>
        <w:tc>
          <w:tcPr>
            <w:tcW w:type="dxa" w:w="1527"/>
          </w:tcPr>
          <w:p>
            <w:pPr>
              <w:spacing w:after="40" w:line="264" w:lineRule="auto"/>
              <w:jc w:val="left"/>
            </w:pPr>
            <w:r/>
            <w:r>
              <w:rPr>
                <w:rFonts w:ascii="Times New Roman" w:hAnsi="Times New Roman"/>
                <w:sz w:val="23"/>
              </w:rPr>
              <w:t>746,8 tỷ</w:t>
            </w:r>
          </w:p>
        </w:tc>
      </w:tr>
      <w:tr>
        <w:tc>
          <w:tcPr>
            <w:tcW w:type="dxa" w:w="1513"/>
          </w:tcPr>
          <w:p>
            <w:pPr>
              <w:spacing w:after="40" w:line="264" w:lineRule="auto"/>
              <w:jc w:val="left"/>
            </w:pPr>
            <w:r/>
            <w:r>
              <w:rPr>
                <w:rFonts w:ascii="Times New Roman" w:hAnsi="Times New Roman"/>
                <w:b/>
                <w:sz w:val="23"/>
              </w:rPr>
              <w:t>45 tr/m²</w:t>
            </w:r>
            <w:r>
              <w:rPr>
                <w:rFonts w:ascii="Times New Roman" w:hAnsi="Times New Roman"/>
                <w:sz w:val="23"/>
              </w:rPr>
              <w:t xml:space="preserve"> </w:t>
            </w:r>
            <w:r>
              <w:rPr>
                <w:rFonts w:ascii="Times New Roman" w:hAnsi="Times New Roman"/>
                <w:i/>
                <w:sz w:val="23"/>
              </w:rPr>
              <w:t>(Trần)</w:t>
            </w:r>
          </w:p>
        </w:tc>
        <w:tc>
          <w:tcPr>
            <w:tcW w:type="dxa" w:w="1471"/>
          </w:tcPr>
          <w:p>
            <w:pPr>
              <w:spacing w:after="40" w:line="264" w:lineRule="auto"/>
              <w:jc w:val="left"/>
            </w:pPr>
            <w:r/>
            <w:r>
              <w:rPr>
                <w:rFonts w:ascii="Times New Roman" w:hAnsi="Times New Roman"/>
                <w:b/>
                <w:sz w:val="23"/>
              </w:rPr>
              <w:t>1.892,5</w:t>
            </w:r>
          </w:p>
        </w:tc>
        <w:tc>
          <w:tcPr>
            <w:tcW w:type="dxa" w:w="1523"/>
          </w:tcPr>
          <w:p>
            <w:pPr>
              <w:spacing w:after="40" w:line="264" w:lineRule="auto"/>
              <w:jc w:val="left"/>
            </w:pPr>
            <w:r/>
            <w:r>
              <w:rPr>
                <w:rFonts w:ascii="Times New Roman" w:hAnsi="Times New Roman"/>
                <w:b/>
                <w:sz w:val="23"/>
              </w:rPr>
              <w:t>1.249,7</w:t>
            </w:r>
          </w:p>
        </w:tc>
        <w:tc>
          <w:tcPr>
            <w:tcW w:type="dxa" w:w="1530"/>
          </w:tcPr>
          <w:p>
            <w:pPr>
              <w:spacing w:after="40" w:line="264" w:lineRule="auto"/>
              <w:jc w:val="left"/>
            </w:pPr>
            <w:r/>
            <w:r>
              <w:rPr>
                <w:rFonts w:ascii="Times New Roman" w:hAnsi="Times New Roman"/>
                <w:b/>
                <w:sz w:val="23"/>
              </w:rPr>
              <w:t>999,7 tỷ</w:t>
            </w:r>
          </w:p>
        </w:tc>
        <w:tc>
          <w:tcPr>
            <w:tcW w:type="dxa" w:w="1506"/>
          </w:tcPr>
          <w:p>
            <w:pPr>
              <w:spacing w:after="40" w:line="264" w:lineRule="auto"/>
              <w:jc w:val="left"/>
            </w:pPr>
            <w:r/>
            <w:r>
              <w:rPr>
                <w:rFonts w:ascii="Times New Roman" w:hAnsi="Times New Roman"/>
                <w:b/>
                <w:sz w:val="23"/>
              </w:rPr>
              <w:t>682,4%</w:t>
            </w:r>
          </w:p>
        </w:tc>
        <w:tc>
          <w:tcPr>
            <w:tcW w:type="dxa" w:w="1527"/>
          </w:tcPr>
          <w:p>
            <w:pPr>
              <w:spacing w:after="40" w:line="264" w:lineRule="auto"/>
              <w:jc w:val="left"/>
            </w:pPr>
            <w:r/>
            <w:r>
              <w:rPr>
                <w:rFonts w:ascii="Times New Roman" w:hAnsi="Times New Roman"/>
                <w:b/>
                <w:sz w:val="23"/>
              </w:rPr>
              <w:t>910,0 tỷ</w:t>
            </w:r>
          </w:p>
        </w:tc>
      </w:tr>
    </w:tbl>
    <w:p>
      <w:pPr>
        <w:spacing w:after="40"/>
      </w:pPr>
    </w:p>
    <w:p>
      <w:pPr>
        <w:spacing w:before="160" w:after="120"/>
        <w:ind w:firstLine="0"/>
        <w:jc w:val="left"/>
      </w:pPr>
      <w:r>
        <w:rPr>
          <w:rFonts w:ascii="Times New Roman" w:hAnsi="Times New Roman"/>
          <w:b/>
          <w:color w:val="000000"/>
          <w:sz w:val="26"/>
        </w:rPr>
        <w:t>4. Điểm hòa vốn an toàn tuyệt đối</w:t>
      </w:r>
    </w:p>
    <w:p>
      <w:pPr>
        <w:spacing w:after="80"/>
        <w:ind w:left="794" w:hanging="283"/>
      </w:pPr>
      <w:r>
        <w:rPr>
          <w:rFonts w:ascii="Times New Roman" w:hAnsi="Times New Roman"/>
        </w:rPr>
        <w:t xml:space="preserve">– Giá bán đất ở hòa vốn của dự án: </w:t>
      </w:r>
      <w:r>
        <w:rPr>
          <w:rFonts w:ascii="Times New Roman" w:hAnsi="Times New Roman"/>
          <w:b/>
        </w:rPr>
        <w:t>14,37 triệu đồng/m²</w:t>
      </w:r>
      <w:r>
        <w:rPr>
          <w:rFonts w:ascii="Times New Roman" w:hAnsi="Times New Roman"/>
        </w:rPr>
        <w:t>.</w:t>
      </w:r>
    </w:p>
    <w:p>
      <w:pPr>
        <w:spacing w:after="80"/>
        <w:ind w:left="794" w:hanging="283"/>
      </w:pPr>
      <w:r>
        <w:rPr>
          <w:rFonts w:ascii="Times New Roman" w:hAnsi="Times New Roman"/>
        </w:rPr>
        <w:t xml:space="preserve">– Giá bán đất ở dự kiến theo vị trí lô: </w:t>
      </w:r>
      <w:r>
        <w:rPr>
          <w:rFonts w:ascii="Times New Roman" w:hAnsi="Times New Roman"/>
          <w:b/>
        </w:rPr>
        <w:t>20 – 45 triệu đồng/m²</w:t>
      </w:r>
      <w:r>
        <w:rPr>
          <w:rFonts w:ascii="Times New Roman" w:hAnsi="Times New Roman"/>
        </w:rPr>
        <w:t xml:space="preserve"> (giá cơ sở 35 triệu đồng/m²).</w:t>
      </w:r>
    </w:p>
    <w:p>
      <w:pPr>
        <w:spacing w:after="80"/>
        <w:ind w:left="794" w:hanging="283"/>
      </w:pPr>
      <w:r>
        <w:rPr>
          <w:rFonts w:ascii="Times New Roman" w:hAnsi="Times New Roman"/>
        </w:rPr>
        <w:t xml:space="preserve">– So với giá bán cơ sở 35,0 triệu đồng/m², dự án có </w:t>
      </w:r>
      <w:r>
        <w:rPr>
          <w:rFonts w:ascii="Times New Roman" w:hAnsi="Times New Roman"/>
          <w:b/>
        </w:rPr>
        <w:t>biên độ an toàn lên tới 58,9% (chênh lệch 20,63 triệu đồng/m²)</w:t>
      </w:r>
      <w:r>
        <w:rPr>
          <w:rFonts w:ascii="Times New Roman" w:hAnsi="Times New Roman"/>
        </w:rPr>
        <w:t>. Kể cả khi giá bán chỉ ở mức sàn 20 triệu đồng/m², dự án vẫn có lãi và bảo toàn vốn.</w:t>
      </w:r>
    </w:p>
    <w:p>
      <w:pPr>
        <w:spacing w:before="240" w:after="120"/>
        <w:ind w:firstLine="0"/>
        <w:jc w:val="left"/>
      </w:pPr>
      <w:r>
        <w:rPr>
          <w:rFonts w:ascii="Times New Roman" w:hAnsi="Times New Roman"/>
          <w:b/>
          <w:color w:val="000000"/>
          <w:sz w:val="27"/>
        </w:rPr>
        <w:t>VII. CƠ HỘI HỢP TÁC CHIẾN LƯỢC</w:t>
      </w:r>
    </w:p>
    <w:p>
      <w:pPr>
        <w:spacing w:after="120"/>
        <w:ind w:firstLine="567"/>
      </w:pPr>
      <w:r>
        <w:rPr>
          <w:rFonts w:ascii="Times New Roman" w:hAnsi="Times New Roman"/>
        </w:rPr>
        <w:t>Chủ đầu tư trân trọng kính mời Quý Tập đoàn, Quý Đối tác chiến lược có năng lực cùng tham gia phát triển dự án với các hình thức hợp tác linh hoạt:</w:t>
      </w:r>
    </w:p>
    <w:p>
      <w:pPr>
        <w:spacing w:after="80"/>
        <w:ind w:left="510" w:hanging="510"/>
      </w:pPr>
      <w:r>
        <w:rPr>
          <w:rFonts w:ascii="Times New Roman" w:hAnsi="Times New Roman"/>
        </w:rPr>
        <w:t xml:space="preserve">1. </w:t>
      </w:r>
      <w:r>
        <w:rPr>
          <w:rFonts w:ascii="Times New Roman" w:hAnsi="Times New Roman"/>
          <w:b/>
        </w:rPr>
        <w:t>Hợp tác đầu tư &amp; Phát triển toàn diện</w:t>
      </w:r>
      <w:r>
        <w:rPr>
          <w:rFonts w:ascii="Times New Roman" w:hAnsi="Times New Roman"/>
        </w:rPr>
        <w:t>: Đồng hành cùng Chủ đầu tư triển khai xây dựng hạ tầng kỹ thuật, phát triển không gian kiến trúc cảnh quan và khai thác khối thương mại dịch vụ 7 tầng.</w:t>
      </w:r>
    </w:p>
    <w:p>
      <w:pPr>
        <w:spacing w:after="80"/>
        <w:ind w:left="510" w:hanging="510"/>
      </w:pPr>
      <w:r>
        <w:rPr>
          <w:rFonts w:ascii="Times New Roman" w:hAnsi="Times New Roman"/>
        </w:rPr>
        <w:t xml:space="preserve">2. </w:t>
      </w:r>
      <w:r>
        <w:rPr>
          <w:rFonts w:ascii="Times New Roman" w:hAnsi="Times New Roman"/>
          <w:b/>
        </w:rPr>
        <w:t>Hợp tác phân phối &amp; Kinh doanh chiến lược</w:t>
      </w:r>
      <w:r>
        <w:rPr>
          <w:rFonts w:ascii="Times New Roman" w:hAnsi="Times New Roman"/>
        </w:rPr>
        <w:t>: Tham gia với vai trò đối tác độc quyền hoặc đồng phát triển kinh doanh 437 sản phẩm đất ở thương phẩm.</w:t>
      </w:r>
    </w:p>
    <w:p>
      <w:pPr>
        <w:spacing w:after="80"/>
        <w:ind w:left="510" w:hanging="510"/>
      </w:pPr>
      <w:r>
        <w:rPr>
          <w:rFonts w:ascii="Times New Roman" w:hAnsi="Times New Roman"/>
        </w:rPr>
        <w:t xml:space="preserve">3. </w:t>
      </w:r>
      <w:r>
        <w:rPr>
          <w:rFonts w:ascii="Times New Roman" w:hAnsi="Times New Roman"/>
          <w:b/>
        </w:rPr>
        <w:t>Liên danh hợp tác kinh doanh (BCC)</w:t>
      </w:r>
      <w:r>
        <w:rPr>
          <w:rFonts w:ascii="Times New Roman" w:hAnsi="Times New Roman"/>
        </w:rPr>
        <w:t>: Cùng góp vốn thực hiện nghĩa vụ tài chính và xây dựng công trình, phân chia lợi nhuận theo tỷ lệ vốn góp minh bạch, chuẩn mực.</w:t>
      </w:r>
    </w:p>
    <w:p>
      <w:pPr>
        <w:spacing w:before="240" w:after="120"/>
        <w:ind w:firstLine="0"/>
        <w:jc w:val="left"/>
      </w:pPr>
      <w:r>
        <w:rPr>
          <w:rFonts w:ascii="Times New Roman" w:hAnsi="Times New Roman"/>
          <w:b/>
          <w:color w:val="000000"/>
          <w:sz w:val="27"/>
        </w:rPr>
        <w:t>VIII. HỒ SƠ DỰ ÁN &amp; THÔNG TIN LIÊN HỆ</w:t>
      </w:r>
    </w:p>
    <w:p>
      <w:pPr>
        <w:spacing w:after="120"/>
        <w:ind w:firstLine="567"/>
      </w:pPr>
      <w:r>
        <w:rPr>
          <w:rFonts w:ascii="Times New Roman" w:hAnsi="Times New Roman"/>
        </w:rPr>
        <w:t>Quý Đối tác quan tâm tìm hiểu chi tiết hồ sơ kỹ thuật và hợp tác vui lòng liên hệ:</w:t>
      </w:r>
    </w:p>
    <w:p>
      <w:pPr>
        <w:spacing w:after="40"/>
        <w:jc w:val="center"/>
      </w:pPr>
      <w:r>
        <w:rPr>
          <w:rFonts w:ascii="Times New Roman" w:hAnsi="Times New Roman"/>
          <w:b/>
        </w:rPr>
        <w:t>CÔNG TY TNHH HƯNG THỊNH PHÁT THỦ ĐÔ</w:t>
      </w:r>
    </w:p>
    <w:p>
      <w:pPr>
        <w:spacing w:after="40"/>
        <w:jc w:val="center"/>
      </w:pPr>
      <w:r>
        <w:rPr>
          <w:rFonts w:ascii="Times New Roman" w:hAnsi="Times New Roman"/>
          <w:b/>
        </w:rPr>
        <w:t>Văn phòng Quản lý Dự án Khu dân cư mới Bằng Quân</w:t>
      </w:r>
    </w:p>
    <w:p>
      <w:pPr>
        <w:spacing w:after="40"/>
        <w:jc w:val="center"/>
      </w:pPr>
      <w:r>
        <w:rPr>
          <w:rFonts w:ascii="Times New Roman" w:hAnsi="Times New Roman"/>
        </w:rPr>
        <w:t xml:space="preserve">Đại diện: </w:t>
      </w:r>
      <w:r>
        <w:rPr>
          <w:rFonts w:ascii="Times New Roman" w:hAnsi="Times New Roman"/>
          <w:b/>
        </w:rPr>
        <w:t>Ông NGUYỄN VIỆT DŨNG — Giám đốc Điều hành</w:t>
      </w:r>
    </w:p>
    <w:p>
      <w:pPr>
        <w:spacing w:after="40"/>
        <w:jc w:val="center"/>
      </w:pPr>
      <w:r>
        <w:rPr>
          <w:rFonts w:ascii="Times New Roman" w:hAnsi="Times New Roman"/>
        </w:rPr>
        <w:t xml:space="preserve">Hotline / Zalo: </w:t>
      </w:r>
      <w:r>
        <w:rPr>
          <w:rFonts w:ascii="Times New Roman" w:hAnsi="Times New Roman"/>
          <w:b/>
        </w:rPr>
        <w:t>0966.120.483</w:t>
      </w:r>
      <w:r>
        <w:rPr>
          <w:rFonts w:ascii="Times New Roman" w:hAnsi="Times New Roman"/>
        </w:rPr>
        <w:t xml:space="preserve"> </w:t>
      </w:r>
      <w:r>
        <w:rPr>
          <w:rFonts w:ascii="Times New Roman" w:hAnsi="Times New Roman"/>
          <w:i/>
        </w:rPr>
        <w:t>(hoặc qua Hệ thống HACOTEC: info@hacotec.vn)</w:t>
      </w:r>
    </w:p>
    <w:p>
      <w:pPr>
        <w:spacing w:after="40"/>
        <w:jc w:val="center"/>
      </w:pPr>
      <w:r>
        <w:rPr>
          <w:rFonts w:ascii="Times New Roman" w:hAnsi="Times New Roman"/>
        </w:rPr>
        <w:t xml:space="preserve">Website Dự án: </w:t>
      </w:r>
      <w:r>
        <w:rPr>
          <w:rFonts w:ascii="Times New Roman" w:hAnsi="Times New Roman"/>
          <w:b/>
        </w:rPr>
        <w:t>https://dinhson.hacotec.vn</w:t>
      </w:r>
      <w:r>
        <w:rPr>
          <w:rFonts w:ascii="Times New Roman" w:hAnsi="Times New Roman"/>
        </w:rPr>
        <w:t xml:space="preserve"> | </w:t>
      </w:r>
      <w:r>
        <w:rPr>
          <w:rFonts w:ascii="Times New Roman" w:hAnsi="Times New Roman"/>
          <w:b/>
        </w:rPr>
        <w:t>https://hacotec.vn/dinhson/</w:t>
      </w:r>
    </w:p>
    <w:p>
      <w:pPr>
        <w:spacing w:after="40"/>
        <w:jc w:val="center"/>
      </w:pPr>
      <w:r>
        <w:rPr>
          <w:rFonts w:ascii="Times New Roman" w:hAnsi="Times New Roman"/>
        </w:rPr>
        <w:t>Trụ sở làm việc: Tòa nhà HACOTEC, TP Hà Nội / Văn phòng Điều hành Dự án tại Cẩm Giang, TP Hải Phòng</w:t>
      </w:r>
    </w:p>
    <w:tbl>
      <w:tblPr>
        <w:tblW w:type="auto" w:w="0"/>
        <w:jc w:val="center"/>
        <w:tblLook w:firstColumn="1" w:firstRow="1" w:lastColumn="0" w:lastRow="0" w:noHBand="0" w:noVBand="1" w:val="04A0"/>
      </w:tblPr>
      <w:tblGrid>
        <w:gridCol w:w="4535"/>
        <w:gridCol w:w="4535"/>
      </w:tblGrid>
      <w:tr>
        <w:tc>
          <w:tcPr>
            <w:tcW w:type="dxa" w:w="4535"/>
          </w:tcPr>
          <w:p>
            <w:pPr>
              <w:spacing w:after="0" w:line="276" w:lineRule="auto"/>
              <w:jc w:val="center"/>
            </w:pPr>
            <w:r/>
            <w:r>
              <w:rPr>
                <w:rFonts w:ascii="Times New Roman" w:hAnsi="Times New Roman"/>
                <w:sz w:val="25"/>
              </w:rPr>
              <w:t xml:space="preserve">Nơi nhận: </w:t>
            </w:r>
          </w:p>
        </w:tc>
        <w:tc>
          <w:tcPr>
            <w:tcW w:type="dxa" w:w="4535"/>
          </w:tcPr>
          <w:p>
            <w:pPr>
              <w:spacing w:after="0" w:line="276" w:lineRule="auto"/>
              <w:jc w:val="center"/>
            </w:pPr>
            <w:r/>
            <w:r>
              <w:rPr>
                <w:rFonts w:ascii="Times New Roman" w:hAnsi="Times New Roman"/>
                <w:sz w:val="25"/>
              </w:rPr>
              <w:t xml:space="preserve"> TM. CÔNG TY TNHH HƯNG THỊNH PHÁT THỦ ĐÔ</w:t>
            </w:r>
          </w:p>
        </w:tc>
      </w:tr>
      <w:tr>
        <w:tc>
          <w:tcPr>
            <w:tcW w:type="dxa" w:w="4535"/>
          </w:tcPr>
          <w:p>
            <w:pPr>
              <w:spacing w:after="0" w:line="276" w:lineRule="auto"/>
              <w:jc w:val="center"/>
            </w:pPr>
            <w:r/>
            <w:r>
              <w:rPr>
                <w:rFonts w:ascii="Times New Roman" w:hAnsi="Times New Roman"/>
                <w:sz w:val="25"/>
              </w:rPr>
              <w:t xml:space="preserve">- Quý Đối tác, Quý Nhà đầu tư; </w:t>
            </w:r>
          </w:p>
        </w:tc>
        <w:tc>
          <w:tcPr>
            <w:tcW w:type="dxa" w:w="4535"/>
          </w:tcPr>
          <w:p>
            <w:pPr>
              <w:spacing w:after="0" w:line="276" w:lineRule="auto"/>
              <w:jc w:val="center"/>
            </w:pPr>
            <w:r/>
            <w:r>
              <w:rPr>
                <w:rFonts w:ascii="Times New Roman" w:hAnsi="Times New Roman"/>
                <w:sz w:val="25"/>
              </w:rPr>
              <w:t xml:space="preserve"> GIÁM ĐỐC</w:t>
            </w:r>
          </w:p>
        </w:tc>
      </w:tr>
      <w:tr>
        <w:tc>
          <w:tcPr>
            <w:tcW w:type="dxa" w:w="4535"/>
          </w:tcPr>
          <w:p>
            <w:pPr>
              <w:spacing w:after="0" w:line="276" w:lineRule="auto"/>
              <w:jc w:val="center"/>
            </w:pPr>
            <w:r/>
            <w:r>
              <w:rPr>
                <w:rFonts w:ascii="Times New Roman" w:hAnsi="Times New Roman"/>
                <w:sz w:val="25"/>
              </w:rPr>
              <w:t xml:space="preserve">- Ban QLDA Bằng Quân; </w:t>
            </w:r>
          </w:p>
        </w:tc>
        <w:tc>
          <w:tcPr>
            <w:tcW w:type="dxa" w:w="4535"/>
          </w:tcPr>
          <w:p>
            <w:pPr>
              <w:spacing w:after="0" w:line="276" w:lineRule="auto"/>
              <w:jc w:val="center"/>
            </w:pPr>
            <w:r/>
          </w:p>
        </w:tc>
      </w:tr>
      <w:tr>
        <w:tc>
          <w:tcPr>
            <w:tcW w:type="dxa" w:w="4535"/>
          </w:tcPr>
          <w:p>
            <w:pPr>
              <w:spacing w:after="0" w:line="276" w:lineRule="auto"/>
              <w:jc w:val="center"/>
            </w:pPr>
            <w:r/>
            <w:r>
              <w:rPr>
                <w:rFonts w:ascii="Times New Roman" w:hAnsi="Times New Roman"/>
                <w:sz w:val="25"/>
              </w:rPr>
              <w:t xml:space="preserve">- Lưu: VT. </w:t>
            </w:r>
          </w:p>
        </w:tc>
        <w:tc>
          <w:tcPr>
            <w:tcW w:type="dxa" w:w="4535"/>
          </w:tcPr>
          <w:p>
            <w:pPr>
              <w:spacing w:after="0" w:line="276" w:lineRule="auto"/>
              <w:jc w:val="center"/>
            </w:pPr>
            <w:r/>
            <w:r>
              <w:rPr>
                <w:rFonts w:ascii="Times New Roman" w:hAnsi="Times New Roman"/>
                <w:sz w:val="25"/>
              </w:rPr>
              <w:t xml:space="preserve"> </w:t>
            </w:r>
            <w:r>
              <w:rPr>
                <w:rFonts w:ascii="Times New Roman" w:hAnsi="Times New Roman"/>
                <w:i/>
                <w:sz w:val="25"/>
              </w:rPr>
              <w:t>(Đã ký &amp; đóng dấu)</w:t>
            </w:r>
          </w:p>
        </w:tc>
      </w:tr>
    </w:tbl>
    <w:p>
      <w:pPr>
        <w:spacing w:after="40"/>
      </w:pPr>
    </w:p>
    <w:sectPr w:rsidR="00FC693F" w:rsidRPr="0006063C"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24" w:lineRule="auto"/>
      <w:jc w:val="both"/>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